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05B72" w14:textId="77777777" w:rsidR="004D4E83" w:rsidRDefault="004D4E83" w:rsidP="00DE6A8F">
      <w:pPr>
        <w:spacing w:after="0" w:line="240" w:lineRule="auto"/>
        <w:jc w:val="center"/>
        <w:rPr>
          <w:rFonts w:ascii="Times New Roman" w:hAnsi="Times New Roman"/>
          <w:b/>
          <w:sz w:val="24"/>
          <w:szCs w:val="24"/>
        </w:rPr>
      </w:pPr>
    </w:p>
    <w:p w14:paraId="6BD1A3CD" w14:textId="33A5DF0E" w:rsidR="00EE2299" w:rsidRDefault="00F544E9" w:rsidP="00DE6A8F">
      <w:pPr>
        <w:spacing w:after="0" w:line="240" w:lineRule="auto"/>
        <w:jc w:val="center"/>
        <w:rPr>
          <w:rFonts w:ascii="Times New Roman" w:hAnsi="Times New Roman"/>
          <w:b/>
          <w:sz w:val="24"/>
          <w:szCs w:val="24"/>
        </w:rPr>
      </w:pPr>
      <w:r w:rsidRPr="00F544E9">
        <w:rPr>
          <w:rFonts w:ascii="Times New Roman" w:hAnsi="Times New Roman"/>
          <w:b/>
          <w:sz w:val="24"/>
          <w:szCs w:val="24"/>
        </w:rPr>
        <w:t>FINANCIAL ACCOUNTABILITY IN COOPERATIVE MANAGEMENT: EVIDENCE FROM MODERN ISLAMIC BOARDING SCHOOLS</w:t>
      </w:r>
    </w:p>
    <w:p w14:paraId="6485E123" w14:textId="77777777" w:rsidR="00EE2299" w:rsidRPr="00DE6A8F" w:rsidRDefault="00EE2299" w:rsidP="00DE6A8F">
      <w:pPr>
        <w:spacing w:after="0" w:line="240" w:lineRule="auto"/>
        <w:jc w:val="center"/>
        <w:rPr>
          <w:rFonts w:ascii="Times New Roman" w:hAnsi="Times New Roman"/>
          <w:b/>
          <w:sz w:val="24"/>
          <w:szCs w:val="24"/>
        </w:rPr>
      </w:pPr>
    </w:p>
    <w:p w14:paraId="7F1AEAAE" w14:textId="0F96B3B4" w:rsidR="00CF3CA1" w:rsidRPr="00980179" w:rsidRDefault="00F544E9" w:rsidP="00E03F9B">
      <w:pPr>
        <w:spacing w:after="0" w:line="240" w:lineRule="auto"/>
        <w:jc w:val="center"/>
        <w:rPr>
          <w:rFonts w:ascii="Times New Roman" w:hAnsi="Times New Roman"/>
          <w:b/>
        </w:rPr>
      </w:pPr>
      <w:r w:rsidRPr="00F544E9">
        <w:rPr>
          <w:rFonts w:ascii="Times New Roman" w:hAnsi="Times New Roman"/>
          <w:b/>
        </w:rPr>
        <w:t>Mirza Abrar Zulkarnen</w:t>
      </w:r>
      <w:r w:rsidR="00815C40" w:rsidRPr="00DE6A8F">
        <w:rPr>
          <w:rFonts w:ascii="Times New Roman" w:hAnsi="Times New Roman"/>
          <w:b/>
          <w:vertAlign w:val="superscript"/>
        </w:rPr>
        <w:t>1</w:t>
      </w:r>
      <w:r w:rsidR="009F4E4A">
        <w:rPr>
          <w:rFonts w:ascii="Times New Roman" w:hAnsi="Times New Roman"/>
          <w:b/>
          <w:vertAlign w:val="superscript"/>
        </w:rPr>
        <w:t>*</w:t>
      </w:r>
      <w:r w:rsidR="00815C40" w:rsidRPr="00DE6A8F">
        <w:rPr>
          <w:rFonts w:ascii="Times New Roman" w:hAnsi="Times New Roman"/>
          <w:b/>
        </w:rPr>
        <w:t xml:space="preserve">, </w:t>
      </w:r>
      <w:r>
        <w:rPr>
          <w:rFonts w:ascii="Times New Roman" w:hAnsi="Times New Roman"/>
          <w:b/>
        </w:rPr>
        <w:t>Evriyenni</w:t>
      </w:r>
      <w:r w:rsidR="00815C40" w:rsidRPr="00DE6A8F">
        <w:rPr>
          <w:rFonts w:ascii="Times New Roman" w:hAnsi="Times New Roman"/>
          <w:b/>
          <w:vertAlign w:val="superscript"/>
        </w:rPr>
        <w:t>2</w:t>
      </w:r>
      <w:r w:rsidR="00815C40" w:rsidRPr="00DE6A8F">
        <w:rPr>
          <w:rFonts w:ascii="Times New Roman" w:hAnsi="Times New Roman"/>
          <w:b/>
        </w:rPr>
        <w:t xml:space="preserve">, </w:t>
      </w:r>
      <w:r>
        <w:rPr>
          <w:rFonts w:ascii="Times New Roman" w:hAnsi="Times New Roman"/>
          <w:b/>
        </w:rPr>
        <w:t>Dara Amanatillah</w:t>
      </w:r>
      <w:r w:rsidR="00815C40" w:rsidRPr="00DE6A8F">
        <w:rPr>
          <w:rFonts w:ascii="Times New Roman" w:hAnsi="Times New Roman"/>
          <w:b/>
          <w:vertAlign w:val="superscript"/>
        </w:rPr>
        <w:t>3</w:t>
      </w:r>
    </w:p>
    <w:p w14:paraId="46AA15CA" w14:textId="5186D7D8" w:rsidR="00E03F9B" w:rsidRDefault="00815C40" w:rsidP="00E03F9B">
      <w:pPr>
        <w:spacing w:after="0" w:line="240" w:lineRule="auto"/>
        <w:jc w:val="center"/>
        <w:rPr>
          <w:rFonts w:ascii="Times New Roman" w:hAnsi="Times New Roman"/>
        </w:rPr>
      </w:pPr>
      <w:r w:rsidRPr="00DE6A8F">
        <w:rPr>
          <w:rFonts w:ascii="Times New Roman" w:hAnsi="Times New Roman"/>
          <w:vertAlign w:val="superscript"/>
        </w:rPr>
        <w:t>1</w:t>
      </w:r>
      <w:r w:rsidR="00F544E9">
        <w:rPr>
          <w:rFonts w:ascii="Times New Roman" w:hAnsi="Times New Roman"/>
          <w:vertAlign w:val="superscript"/>
        </w:rPr>
        <w:t>,2,3</w:t>
      </w:r>
      <w:r w:rsidR="00E03F9B">
        <w:rPr>
          <w:rFonts w:ascii="Times New Roman" w:hAnsi="Times New Roman"/>
          <w:vertAlign w:val="superscript"/>
        </w:rPr>
        <w:t xml:space="preserve"> </w:t>
      </w:r>
      <w:r w:rsidR="00F544E9" w:rsidRPr="00F544E9">
        <w:rPr>
          <w:rFonts w:ascii="Times New Roman" w:hAnsi="Times New Roman"/>
        </w:rPr>
        <w:t xml:space="preserve">Faculty of Islamic Economics and Business, UIN </w:t>
      </w:r>
      <w:proofErr w:type="spellStart"/>
      <w:r w:rsidR="00F544E9" w:rsidRPr="00F544E9">
        <w:rPr>
          <w:rFonts w:ascii="Times New Roman" w:hAnsi="Times New Roman"/>
        </w:rPr>
        <w:t>Ar-Raniry</w:t>
      </w:r>
      <w:proofErr w:type="spellEnd"/>
      <w:r w:rsidR="00F544E9" w:rsidRPr="00F544E9">
        <w:rPr>
          <w:rFonts w:ascii="Times New Roman" w:hAnsi="Times New Roman"/>
        </w:rPr>
        <w:t xml:space="preserve"> Banda Aceh</w:t>
      </w:r>
    </w:p>
    <w:p w14:paraId="471607AF" w14:textId="77777777" w:rsidR="00CF3CA1" w:rsidRPr="00DE6A8F" w:rsidRDefault="00CF3CA1" w:rsidP="00E03F9B">
      <w:pPr>
        <w:spacing w:after="0" w:line="240" w:lineRule="auto"/>
        <w:jc w:val="center"/>
        <w:rPr>
          <w:rFonts w:ascii="Times New Roman" w:hAnsi="Times New Roman"/>
        </w:rPr>
      </w:pPr>
    </w:p>
    <w:p w14:paraId="3331A515" w14:textId="661C0303" w:rsidR="00DE6A8F" w:rsidRPr="00DE6A8F" w:rsidRDefault="009F4E4A" w:rsidP="00E03F9B">
      <w:pPr>
        <w:spacing w:after="0" w:line="240" w:lineRule="auto"/>
        <w:jc w:val="center"/>
        <w:rPr>
          <w:rFonts w:ascii="Times New Roman" w:hAnsi="Times New Roman"/>
          <w:lang w:val="id-ID"/>
        </w:rPr>
      </w:pPr>
      <w:r>
        <w:rPr>
          <w:rFonts w:ascii="Times New Roman" w:hAnsi="Times New Roman"/>
          <w:b/>
        </w:rPr>
        <w:t>*</w:t>
      </w:r>
      <w:r w:rsidR="00DE6A8F" w:rsidRPr="00DE6A8F">
        <w:rPr>
          <w:rFonts w:ascii="Times New Roman" w:hAnsi="Times New Roman"/>
          <w:b/>
        </w:rPr>
        <w:t>e-mail</w:t>
      </w:r>
      <w:r w:rsidR="00E03F9B">
        <w:rPr>
          <w:rFonts w:ascii="Times New Roman" w:hAnsi="Times New Roman"/>
        </w:rPr>
        <w:t xml:space="preserve">: </w:t>
      </w:r>
      <w:r w:rsidR="00F544E9">
        <w:rPr>
          <w:rFonts w:ascii="Times New Roman" w:hAnsi="Times New Roman"/>
          <w:i/>
        </w:rPr>
        <w:t>evriyenni@ar-raniry.ac.id</w:t>
      </w:r>
      <w:r w:rsidR="002F61F9">
        <w:rPr>
          <w:rFonts w:ascii="Times New Roman" w:hAnsi="Times New Roman"/>
          <w:i/>
        </w:rPr>
        <w:t xml:space="preserve"> </w:t>
      </w:r>
    </w:p>
    <w:p w14:paraId="1296EEAC" w14:textId="77777777" w:rsidR="00E704AB" w:rsidRDefault="00E704AB" w:rsidP="00CF3CA1">
      <w:pPr>
        <w:spacing w:after="0" w:line="240" w:lineRule="auto"/>
        <w:jc w:val="center"/>
        <w:rPr>
          <w:rFonts w:ascii="Times New Roman" w:hAnsi="Times New Roman"/>
          <w:b/>
          <w:lang w:val="id-ID"/>
        </w:rPr>
      </w:pPr>
    </w:p>
    <w:p w14:paraId="434F005F" w14:textId="77777777" w:rsidR="00F60FCF" w:rsidRPr="008C7A10" w:rsidRDefault="00F60FCF" w:rsidP="008C7A10">
      <w:pPr>
        <w:spacing w:after="0" w:line="240" w:lineRule="auto"/>
        <w:jc w:val="center"/>
        <w:rPr>
          <w:rFonts w:ascii="Times New Roman" w:hAnsi="Times New Roman"/>
          <w:b/>
          <w:sz w:val="24"/>
          <w:szCs w:val="24"/>
        </w:rPr>
      </w:pPr>
      <w:r w:rsidRPr="00612C0B">
        <w:rPr>
          <w:rFonts w:ascii="Times New Roman" w:hAnsi="Times New Roman"/>
          <w:b/>
          <w:sz w:val="24"/>
          <w:szCs w:val="24"/>
          <w:lang w:val="id-ID"/>
        </w:rPr>
        <w:t>DOI: 10.1</w:t>
      </w:r>
      <w:r w:rsidR="00496FD8">
        <w:rPr>
          <w:rFonts w:ascii="Times New Roman" w:hAnsi="Times New Roman"/>
          <w:b/>
          <w:sz w:val="24"/>
          <w:szCs w:val="24"/>
        </w:rPr>
        <w:t>5</w:t>
      </w:r>
      <w:r w:rsidRPr="00612C0B">
        <w:rPr>
          <w:rFonts w:ascii="Times New Roman" w:hAnsi="Times New Roman"/>
          <w:b/>
          <w:sz w:val="24"/>
          <w:szCs w:val="24"/>
          <w:lang w:val="id-ID"/>
        </w:rPr>
        <w:t>71</w:t>
      </w:r>
      <w:r w:rsidR="00496FD8">
        <w:rPr>
          <w:rFonts w:ascii="Times New Roman" w:hAnsi="Times New Roman"/>
          <w:b/>
          <w:sz w:val="24"/>
          <w:szCs w:val="24"/>
        </w:rPr>
        <w:t>4</w:t>
      </w:r>
      <w:r w:rsidRPr="00612C0B">
        <w:rPr>
          <w:rFonts w:ascii="Times New Roman" w:hAnsi="Times New Roman"/>
          <w:b/>
          <w:sz w:val="24"/>
          <w:szCs w:val="24"/>
          <w:lang w:val="id-ID"/>
        </w:rPr>
        <w:t>/</w:t>
      </w:r>
      <w:proofErr w:type="spellStart"/>
      <w:r w:rsidR="00496FD8">
        <w:rPr>
          <w:rFonts w:ascii="Times New Roman" w:hAnsi="Times New Roman"/>
          <w:b/>
          <w:sz w:val="24"/>
          <w:szCs w:val="24"/>
        </w:rPr>
        <w:t>ijsed</w:t>
      </w:r>
      <w:proofErr w:type="spellEnd"/>
      <w:r w:rsidRPr="00612C0B">
        <w:rPr>
          <w:rFonts w:ascii="Times New Roman" w:hAnsi="Times New Roman"/>
          <w:b/>
          <w:sz w:val="24"/>
          <w:szCs w:val="24"/>
          <w:lang w:val="id-ID"/>
        </w:rPr>
        <w:t>.</w:t>
      </w:r>
      <w:r w:rsidR="008C7A10">
        <w:rPr>
          <w:rFonts w:ascii="Times New Roman" w:hAnsi="Times New Roman"/>
          <w:b/>
          <w:sz w:val="24"/>
          <w:szCs w:val="24"/>
        </w:rPr>
        <w:t>XX</w:t>
      </w:r>
      <w:r w:rsidRPr="00612C0B">
        <w:rPr>
          <w:rFonts w:ascii="Times New Roman" w:hAnsi="Times New Roman"/>
          <w:b/>
          <w:sz w:val="24"/>
          <w:szCs w:val="24"/>
          <w:lang w:val="id-ID"/>
        </w:rPr>
        <w:t>.</w:t>
      </w:r>
      <w:r w:rsidR="008C7A10">
        <w:rPr>
          <w:rFonts w:ascii="Times New Roman" w:hAnsi="Times New Roman"/>
          <w:b/>
          <w:sz w:val="24"/>
          <w:szCs w:val="24"/>
        </w:rPr>
        <w:t>X</w:t>
      </w:r>
      <w:r w:rsidRPr="00612C0B">
        <w:rPr>
          <w:rFonts w:ascii="Times New Roman" w:hAnsi="Times New Roman"/>
          <w:b/>
          <w:sz w:val="24"/>
          <w:szCs w:val="24"/>
          <w:lang w:val="id-ID"/>
        </w:rPr>
        <w:t>.</w:t>
      </w:r>
      <w:r w:rsidR="008C7A10">
        <w:rPr>
          <w:rFonts w:ascii="Times New Roman" w:hAnsi="Times New Roman"/>
          <w:b/>
          <w:sz w:val="24"/>
          <w:szCs w:val="24"/>
        </w:rPr>
        <w:t>XX</w:t>
      </w:r>
      <w:r>
        <w:rPr>
          <w:rFonts w:ascii="Times New Roman" w:hAnsi="Times New Roman"/>
          <w:b/>
          <w:sz w:val="24"/>
          <w:szCs w:val="24"/>
          <w:lang w:val="id-ID"/>
        </w:rPr>
        <w:t>-</w:t>
      </w:r>
      <w:r w:rsidR="008C7A10">
        <w:rPr>
          <w:rFonts w:ascii="Times New Roman" w:hAnsi="Times New Roman"/>
          <w:b/>
          <w:sz w:val="24"/>
          <w:szCs w:val="24"/>
        </w:rPr>
        <w:t>XX</w:t>
      </w:r>
    </w:p>
    <w:p w14:paraId="48CE05B7" w14:textId="77777777" w:rsidR="00F60FCF" w:rsidRDefault="00F60FCF" w:rsidP="00F60FCF">
      <w:pPr>
        <w:spacing w:after="0" w:line="240" w:lineRule="auto"/>
        <w:jc w:val="center"/>
        <w:rPr>
          <w:rFonts w:ascii="Times New Roman" w:hAnsi="Times New Roman"/>
          <w:b/>
        </w:rPr>
      </w:pPr>
    </w:p>
    <w:tbl>
      <w:tblPr>
        <w:tblW w:w="8897" w:type="dxa"/>
        <w:tblBorders>
          <w:top w:val="single" w:sz="4" w:space="0" w:color="auto"/>
          <w:bottom w:val="single" w:sz="4" w:space="0" w:color="auto"/>
        </w:tblBorders>
        <w:tblLook w:val="04A0" w:firstRow="1" w:lastRow="0" w:firstColumn="1" w:lastColumn="0" w:noHBand="0" w:noVBand="1"/>
      </w:tblPr>
      <w:tblGrid>
        <w:gridCol w:w="3085"/>
        <w:gridCol w:w="5812"/>
      </w:tblGrid>
      <w:tr w:rsidR="00F60FCF" w:rsidRPr="00F33B03" w14:paraId="6B771490" w14:textId="77777777" w:rsidTr="00E61D1B">
        <w:tc>
          <w:tcPr>
            <w:tcW w:w="3085" w:type="dxa"/>
          </w:tcPr>
          <w:p w14:paraId="22BE2914" w14:textId="77777777" w:rsidR="00F60FCF" w:rsidRPr="000F321D" w:rsidRDefault="00F60FCF" w:rsidP="00E61D1B">
            <w:pPr>
              <w:spacing w:before="120" w:after="0" w:line="240" w:lineRule="auto"/>
              <w:rPr>
                <w:rFonts w:ascii="Times New Roman" w:hAnsi="Times New Roman"/>
                <w:b/>
                <w:szCs w:val="24"/>
                <w:lang w:val="id-ID"/>
              </w:rPr>
            </w:pPr>
            <w:r w:rsidRPr="000F321D">
              <w:rPr>
                <w:rFonts w:ascii="Times New Roman" w:hAnsi="Times New Roman"/>
                <w:b/>
                <w:szCs w:val="24"/>
                <w:lang w:val="id-ID"/>
              </w:rPr>
              <w:t>Article Info:</w:t>
            </w:r>
          </w:p>
          <w:p w14:paraId="743AB7CF" w14:textId="77777777" w:rsidR="00F60FCF" w:rsidRPr="000F321D" w:rsidRDefault="00F60FCF" w:rsidP="00F60FCF">
            <w:pPr>
              <w:spacing w:after="0" w:line="240" w:lineRule="auto"/>
              <w:rPr>
                <w:rFonts w:ascii="Times New Roman" w:hAnsi="Times New Roman"/>
                <w:sz w:val="20"/>
                <w:szCs w:val="20"/>
                <w:lang w:val="id-ID" w:eastAsia="id-ID"/>
              </w:rPr>
            </w:pPr>
            <w:r w:rsidRPr="000F321D">
              <w:rPr>
                <w:rFonts w:ascii="Times New Roman" w:hAnsi="Times New Roman"/>
                <w:sz w:val="20"/>
                <w:szCs w:val="20"/>
                <w:lang w:val="id-ID" w:eastAsia="id-ID"/>
              </w:rPr>
              <w:t xml:space="preserve">Received: </w:t>
            </w:r>
          </w:p>
          <w:p w14:paraId="0BAA6E59" w14:textId="77777777" w:rsidR="00F60FCF" w:rsidRPr="000F321D" w:rsidRDefault="00F60FCF" w:rsidP="00F60FCF">
            <w:pPr>
              <w:spacing w:after="0" w:line="240" w:lineRule="auto"/>
              <w:rPr>
                <w:rFonts w:ascii="Times New Roman" w:hAnsi="Times New Roman"/>
                <w:sz w:val="20"/>
                <w:szCs w:val="20"/>
                <w:lang w:val="id-ID" w:eastAsia="id-ID"/>
              </w:rPr>
            </w:pPr>
            <w:r w:rsidRPr="000F321D">
              <w:rPr>
                <w:rFonts w:ascii="Times New Roman" w:hAnsi="Times New Roman"/>
                <w:sz w:val="20"/>
                <w:szCs w:val="20"/>
                <w:lang w:val="id-ID" w:eastAsia="id-ID"/>
              </w:rPr>
              <w:t xml:space="preserve">Accepted: </w:t>
            </w:r>
          </w:p>
          <w:p w14:paraId="24580069" w14:textId="77777777" w:rsidR="00F60FCF" w:rsidRPr="00A56562" w:rsidRDefault="00F60FCF" w:rsidP="00F60FCF">
            <w:pPr>
              <w:spacing w:after="0" w:line="240" w:lineRule="auto"/>
              <w:rPr>
                <w:rFonts w:ascii="Times New Roman" w:hAnsi="Times New Roman"/>
                <w:sz w:val="20"/>
                <w:szCs w:val="20"/>
                <w:lang w:eastAsia="id-ID"/>
              </w:rPr>
            </w:pPr>
            <w:r w:rsidRPr="000F321D">
              <w:rPr>
                <w:rFonts w:ascii="Times New Roman" w:hAnsi="Times New Roman"/>
                <w:sz w:val="20"/>
                <w:szCs w:val="20"/>
                <w:lang w:val="id-ID" w:eastAsia="id-ID"/>
              </w:rPr>
              <w:t xml:space="preserve">Available </w:t>
            </w:r>
            <w:r>
              <w:rPr>
                <w:rFonts w:ascii="Times New Roman" w:hAnsi="Times New Roman"/>
                <w:sz w:val="20"/>
                <w:szCs w:val="20"/>
                <w:lang w:val="id-ID" w:eastAsia="id-ID"/>
              </w:rPr>
              <w:t xml:space="preserve">Online: </w:t>
            </w:r>
          </w:p>
          <w:p w14:paraId="5F1478D6" w14:textId="77777777" w:rsidR="00F60FCF" w:rsidRPr="000F321D" w:rsidRDefault="00F60FCF" w:rsidP="00E61D1B">
            <w:pPr>
              <w:spacing w:after="0" w:line="240" w:lineRule="auto"/>
              <w:rPr>
                <w:rFonts w:ascii="Times New Roman" w:hAnsi="Times New Roman"/>
                <w:b/>
                <w:sz w:val="24"/>
                <w:szCs w:val="24"/>
                <w:lang w:val="id-ID"/>
              </w:rPr>
            </w:pPr>
          </w:p>
          <w:p w14:paraId="2F6C8887" w14:textId="77777777" w:rsidR="00F60FCF" w:rsidRPr="000F321D" w:rsidRDefault="00F60FCF" w:rsidP="00E61D1B">
            <w:pPr>
              <w:spacing w:after="0" w:line="240" w:lineRule="auto"/>
              <w:rPr>
                <w:rFonts w:ascii="Times New Roman" w:hAnsi="Times New Roman"/>
                <w:lang w:val="id-ID"/>
              </w:rPr>
            </w:pPr>
            <w:r w:rsidRPr="000F321D">
              <w:rPr>
                <w:rFonts w:ascii="Times New Roman" w:hAnsi="Times New Roman"/>
                <w:b/>
                <w:lang w:val="id-ID"/>
              </w:rPr>
              <w:t>Keywords:</w:t>
            </w:r>
            <w:r w:rsidRPr="000F321D">
              <w:rPr>
                <w:rFonts w:ascii="Times New Roman" w:hAnsi="Times New Roman"/>
                <w:lang w:val="id-ID"/>
              </w:rPr>
              <w:t xml:space="preserve"> </w:t>
            </w:r>
          </w:p>
          <w:p w14:paraId="327F2AA6" w14:textId="3F928211" w:rsidR="00F60FCF" w:rsidRPr="000F321D" w:rsidRDefault="00F544E9" w:rsidP="00E61D1B">
            <w:pPr>
              <w:spacing w:after="0" w:line="240" w:lineRule="auto"/>
              <w:rPr>
                <w:rFonts w:ascii="Times New Roman" w:hAnsi="Times New Roman"/>
                <w:b/>
                <w:sz w:val="24"/>
                <w:szCs w:val="24"/>
                <w:lang w:val="id-ID"/>
              </w:rPr>
            </w:pPr>
            <w:r w:rsidRPr="00F544E9">
              <w:rPr>
                <w:rFonts w:ascii="Times New Roman" w:hAnsi="Times New Roman"/>
                <w:i/>
                <w:sz w:val="20"/>
                <w:szCs w:val="20"/>
              </w:rPr>
              <w:t>Accounting, Finance, Competence, Accountability, Islamic Boarding School</w:t>
            </w:r>
          </w:p>
        </w:tc>
        <w:tc>
          <w:tcPr>
            <w:tcW w:w="5812" w:type="dxa"/>
          </w:tcPr>
          <w:p w14:paraId="5393E2F8" w14:textId="1B5B8068" w:rsidR="00F60FCF" w:rsidRPr="00F33B03" w:rsidRDefault="00F60FCF" w:rsidP="00E61D1B">
            <w:pPr>
              <w:spacing w:before="120" w:after="120" w:line="240" w:lineRule="auto"/>
              <w:jc w:val="both"/>
              <w:rPr>
                <w:rFonts w:ascii="Times New Roman" w:hAnsi="Times New Roman"/>
                <w:b/>
                <w:lang w:val="id-ID"/>
              </w:rPr>
            </w:pPr>
            <w:proofErr w:type="spellStart"/>
            <w:r w:rsidRPr="00F33B03">
              <w:rPr>
                <w:rFonts w:ascii="Times New Roman" w:hAnsi="Times New Roman"/>
                <w:b/>
              </w:rPr>
              <w:t>Abstra</w:t>
            </w:r>
            <w:proofErr w:type="spellEnd"/>
            <w:r w:rsidRPr="00F33B03">
              <w:rPr>
                <w:rFonts w:ascii="Times New Roman" w:hAnsi="Times New Roman"/>
                <w:b/>
                <w:lang w:val="id-ID"/>
              </w:rPr>
              <w:t>ct:</w:t>
            </w:r>
            <w:r w:rsidR="0046498D" w:rsidRPr="00F33B03">
              <w:rPr>
                <w:rFonts w:ascii="Times New Roman" w:hAnsi="Times New Roman"/>
                <w:b/>
              </w:rPr>
              <w:t xml:space="preserve"> </w:t>
            </w:r>
            <w:r w:rsidR="00F544E9" w:rsidRPr="00F544E9">
              <w:rPr>
                <w:rFonts w:ascii="Times New Roman" w:hAnsi="Times New Roman"/>
                <w:bCs/>
                <w:lang w:val="id-ID"/>
              </w:rPr>
              <w:t>Islamic boarding schools (pesantren) are Islamic educational institutions that not only function as centers of religious education but also have social and economic roles in society. This study aims to analyze the influence of understanding financial accounting standards and management competency on the accountability of financial reporting management in modern Islamic boarding school cooperatives in Aceh Besar. This study uses a quantitative approach to examine the relationship between variables. The population in this study were the management of modern Islamic boarding school cooperatives in Aceh Besar, with a sample of 30 respondents determined through purposive sampling. Data were collected through questionnaires and analyzed using multiple linear regression. The results show that partially understanding financial accounting standards does not significantly influence the accountability of financial reporting management. Conversely, management competency has a positive and significant effect on the accountability of financial reporting management. Simultaneously, both independent variables significantly influence the accountability of financial reporting management</w:t>
            </w:r>
            <w:r w:rsidR="00F33B03" w:rsidRPr="00F33B03">
              <w:rPr>
                <w:rFonts w:ascii="Times New Roman" w:eastAsia="ArialMT" w:hAnsi="Times New Roman"/>
              </w:rPr>
              <w:t>.</w:t>
            </w:r>
          </w:p>
        </w:tc>
      </w:tr>
    </w:tbl>
    <w:p w14:paraId="525CDBA9" w14:textId="77777777" w:rsidR="00DE6A8F" w:rsidRPr="00942657" w:rsidRDefault="00DE6A8F" w:rsidP="00CF3CA1">
      <w:pPr>
        <w:spacing w:after="0" w:line="240" w:lineRule="auto"/>
        <w:jc w:val="center"/>
        <w:rPr>
          <w:rFonts w:ascii="Times New Roman" w:hAnsi="Times New Roman"/>
          <w:b/>
          <w:sz w:val="24"/>
          <w:szCs w:val="24"/>
        </w:rPr>
      </w:pPr>
    </w:p>
    <w:p w14:paraId="4F63CC45" w14:textId="77777777" w:rsidR="00CF3CA1" w:rsidRPr="00634451" w:rsidRDefault="00DA1A38" w:rsidP="009F4E4A">
      <w:pPr>
        <w:tabs>
          <w:tab w:val="left" w:pos="284"/>
        </w:tabs>
        <w:spacing w:before="120" w:after="0" w:line="240" w:lineRule="auto"/>
        <w:jc w:val="both"/>
        <w:rPr>
          <w:rFonts w:ascii="Times New Roman" w:hAnsi="Times New Roman"/>
          <w:b/>
          <w:sz w:val="24"/>
          <w:szCs w:val="24"/>
        </w:rPr>
      </w:pPr>
      <w:r>
        <w:rPr>
          <w:rFonts w:ascii="Times New Roman" w:hAnsi="Times New Roman"/>
          <w:b/>
          <w:sz w:val="24"/>
          <w:szCs w:val="24"/>
        </w:rPr>
        <w:t>INTRODUCTION</w:t>
      </w:r>
      <w:r w:rsidR="007702AC">
        <w:rPr>
          <w:rFonts w:ascii="Times New Roman" w:hAnsi="Times New Roman"/>
          <w:b/>
          <w:sz w:val="24"/>
          <w:szCs w:val="24"/>
        </w:rPr>
        <w:t xml:space="preserve"> </w:t>
      </w:r>
    </w:p>
    <w:p w14:paraId="29EA54F6" w14:textId="2E9129B7" w:rsidR="00DB31FA" w:rsidRPr="00DB31FA" w:rsidRDefault="00DB31FA" w:rsidP="00DB31FA">
      <w:pPr>
        <w:spacing w:after="0" w:line="240" w:lineRule="auto"/>
        <w:ind w:firstLine="562"/>
        <w:jc w:val="both"/>
        <w:rPr>
          <w:rFonts w:ascii="Times New Roman" w:hAnsi="Times New Roman"/>
          <w:sz w:val="24"/>
          <w:szCs w:val="24"/>
          <w:lang w:val="en-ID"/>
        </w:rPr>
      </w:pPr>
      <w:r w:rsidRPr="00DB31FA">
        <w:rPr>
          <w:rFonts w:ascii="Times New Roman" w:hAnsi="Times New Roman"/>
          <w:sz w:val="24"/>
          <w:szCs w:val="24"/>
          <w:lang w:val="en-ID"/>
        </w:rPr>
        <w:t>Islamic boarding schools play a strategic role not only as religious education institutions but also as socio-economic entities contributing to community welfare. In Indonesia, Islamic boarding schools have increasingly been encouraged to strengthen their economic independence through business units, one of which is cooperatives. These cooperatives function as financial support systems for operational activities and as instruments for economic empowerment</w:t>
      </w:r>
      <w:r w:rsidR="008B6913">
        <w:rPr>
          <w:rFonts w:ascii="Times New Roman" w:hAnsi="Times New Roman"/>
          <w:sz w:val="24"/>
          <w:szCs w:val="24"/>
          <w:lang w:val="en-ID"/>
        </w:rPr>
        <w:t xml:space="preserve"> </w:t>
      </w:r>
      <w:r w:rsidR="008B6913" w:rsidRPr="008B6913">
        <w:rPr>
          <w:rFonts w:ascii="Times New Roman" w:hAnsi="Times New Roman"/>
          <w:sz w:val="24"/>
          <w:szCs w:val="24"/>
          <w:lang w:val="en-ID"/>
        </w:rPr>
        <w:t>(</w:t>
      </w:r>
      <w:proofErr w:type="spellStart"/>
      <w:r w:rsidR="008B6913" w:rsidRPr="008B6913">
        <w:rPr>
          <w:rFonts w:ascii="Times New Roman" w:hAnsi="Times New Roman"/>
          <w:sz w:val="24"/>
          <w:szCs w:val="24"/>
          <w:lang w:val="en-ID"/>
        </w:rPr>
        <w:t>Afifuddin</w:t>
      </w:r>
      <w:proofErr w:type="spellEnd"/>
      <w:r w:rsidR="008B6913" w:rsidRPr="008B6913">
        <w:rPr>
          <w:rFonts w:ascii="Times New Roman" w:hAnsi="Times New Roman"/>
          <w:sz w:val="24"/>
          <w:szCs w:val="24"/>
          <w:lang w:val="en-ID"/>
        </w:rPr>
        <w:t>, 2022)</w:t>
      </w:r>
      <w:r w:rsidRPr="00DB31FA">
        <w:rPr>
          <w:rFonts w:ascii="Times New Roman" w:hAnsi="Times New Roman"/>
          <w:sz w:val="24"/>
          <w:szCs w:val="24"/>
          <w:lang w:val="en-ID"/>
        </w:rPr>
        <w:t>.</w:t>
      </w:r>
    </w:p>
    <w:p w14:paraId="1DCA3776" w14:textId="0E45F5BB" w:rsidR="00DB31FA" w:rsidRPr="00DB31FA" w:rsidRDefault="00DB31FA" w:rsidP="00DB31FA">
      <w:pPr>
        <w:spacing w:after="0" w:line="240" w:lineRule="auto"/>
        <w:ind w:firstLine="562"/>
        <w:jc w:val="both"/>
        <w:rPr>
          <w:rFonts w:ascii="Times New Roman" w:hAnsi="Times New Roman"/>
          <w:sz w:val="24"/>
          <w:szCs w:val="24"/>
          <w:lang w:val="en-ID"/>
        </w:rPr>
      </w:pPr>
      <w:r w:rsidRPr="00DB31FA">
        <w:rPr>
          <w:rFonts w:ascii="Times New Roman" w:hAnsi="Times New Roman"/>
          <w:sz w:val="24"/>
          <w:szCs w:val="24"/>
          <w:lang w:val="en-ID"/>
        </w:rPr>
        <w:t>As financial activities expand, the demand for transparent and accountable financial management becomes more critical. Financial accountability reflects an institution’s ability to responsibly manage and report financial resources to stakeholders, including donors, government, and the public. In this context, financial statements serve as a primary communication tool that must be prepared systematically and in accordance with applicable accounting standards</w:t>
      </w:r>
      <w:r w:rsidR="008B6913">
        <w:rPr>
          <w:rFonts w:ascii="Times New Roman" w:hAnsi="Times New Roman"/>
          <w:sz w:val="24"/>
          <w:szCs w:val="24"/>
          <w:lang w:val="en-ID"/>
        </w:rPr>
        <w:t xml:space="preserve"> </w:t>
      </w:r>
      <w:r w:rsidR="008B6913" w:rsidRPr="008B6913">
        <w:rPr>
          <w:rFonts w:ascii="Times New Roman" w:hAnsi="Times New Roman"/>
          <w:sz w:val="24"/>
          <w:szCs w:val="24"/>
          <w:lang w:val="en-ID"/>
        </w:rPr>
        <w:t xml:space="preserve">(Dewi </w:t>
      </w:r>
      <w:r w:rsidR="008B6913">
        <w:rPr>
          <w:rFonts w:ascii="Times New Roman" w:hAnsi="Times New Roman"/>
          <w:sz w:val="24"/>
          <w:szCs w:val="24"/>
          <w:lang w:val="en-ID"/>
        </w:rPr>
        <w:t>et., al</w:t>
      </w:r>
      <w:r w:rsidR="008B6913" w:rsidRPr="008B6913">
        <w:rPr>
          <w:rFonts w:ascii="Times New Roman" w:hAnsi="Times New Roman"/>
          <w:sz w:val="24"/>
          <w:szCs w:val="24"/>
          <w:lang w:val="en-ID"/>
        </w:rPr>
        <w:t>, 2021)</w:t>
      </w:r>
      <w:r w:rsidRPr="00DB31FA">
        <w:rPr>
          <w:rFonts w:ascii="Times New Roman" w:hAnsi="Times New Roman"/>
          <w:sz w:val="24"/>
          <w:szCs w:val="24"/>
          <w:lang w:val="en-ID"/>
        </w:rPr>
        <w:t>.</w:t>
      </w:r>
    </w:p>
    <w:p w14:paraId="3C5FE243" w14:textId="77777777" w:rsidR="00DB31FA" w:rsidRDefault="00DB31FA" w:rsidP="00DB31FA">
      <w:pPr>
        <w:spacing w:after="0" w:line="240" w:lineRule="auto"/>
        <w:ind w:firstLine="562"/>
        <w:jc w:val="both"/>
        <w:rPr>
          <w:rFonts w:ascii="Times New Roman" w:hAnsi="Times New Roman"/>
          <w:sz w:val="24"/>
          <w:szCs w:val="24"/>
          <w:lang w:val="en-ID"/>
        </w:rPr>
      </w:pPr>
    </w:p>
    <w:p w14:paraId="71BE7864" w14:textId="1733A5A0" w:rsidR="00DB31FA" w:rsidRPr="00DB31FA" w:rsidRDefault="00DB31FA" w:rsidP="00DB31FA">
      <w:pPr>
        <w:spacing w:after="0" w:line="240" w:lineRule="auto"/>
        <w:ind w:firstLine="562"/>
        <w:jc w:val="both"/>
        <w:rPr>
          <w:rFonts w:ascii="Times New Roman" w:hAnsi="Times New Roman"/>
          <w:sz w:val="24"/>
          <w:szCs w:val="24"/>
          <w:lang w:val="en-ID"/>
        </w:rPr>
      </w:pPr>
      <w:r w:rsidRPr="00DB31FA">
        <w:rPr>
          <w:rFonts w:ascii="Times New Roman" w:hAnsi="Times New Roman"/>
          <w:sz w:val="24"/>
          <w:szCs w:val="24"/>
          <w:lang w:val="en-ID"/>
        </w:rPr>
        <w:lastRenderedPageBreak/>
        <w:t>Theoretically, the quality of financial accountability is influenced by several internal factors, particularly the understanding of Financial Accounting Standards (SAK) and the competence of management. A strong understanding of accounting standards enables accurate recording, classification, and reporting of financial transactions, ensuring compliance with frameworks such as SAK ETAP or ISAK 35 for non-profit entities. Meanwhile, managerial competence encompasses technical skills, knowledge, and experience necessary to implement financial systems effectively</w:t>
      </w:r>
      <w:r w:rsidR="00A90858">
        <w:rPr>
          <w:rFonts w:ascii="Times New Roman" w:hAnsi="Times New Roman"/>
          <w:sz w:val="24"/>
          <w:szCs w:val="24"/>
          <w:lang w:val="en-ID"/>
        </w:rPr>
        <w:t xml:space="preserve"> (</w:t>
      </w:r>
      <w:proofErr w:type="spellStart"/>
      <w:r w:rsidR="00A90858" w:rsidRPr="00A90858">
        <w:rPr>
          <w:rFonts w:ascii="Times New Roman" w:hAnsi="Times New Roman"/>
          <w:sz w:val="24"/>
          <w:szCs w:val="24"/>
          <w:lang w:val="en-ID"/>
        </w:rPr>
        <w:t>Ikatan</w:t>
      </w:r>
      <w:proofErr w:type="spellEnd"/>
      <w:r w:rsidR="00A90858" w:rsidRPr="00A90858">
        <w:rPr>
          <w:rFonts w:ascii="Times New Roman" w:hAnsi="Times New Roman"/>
          <w:sz w:val="24"/>
          <w:szCs w:val="24"/>
          <w:lang w:val="en-ID"/>
        </w:rPr>
        <w:t xml:space="preserve"> </w:t>
      </w:r>
      <w:proofErr w:type="spellStart"/>
      <w:r w:rsidR="00A90858" w:rsidRPr="00A90858">
        <w:rPr>
          <w:rFonts w:ascii="Times New Roman" w:hAnsi="Times New Roman"/>
          <w:sz w:val="24"/>
          <w:szCs w:val="24"/>
          <w:lang w:val="en-ID"/>
        </w:rPr>
        <w:t>Akuntan</w:t>
      </w:r>
      <w:proofErr w:type="spellEnd"/>
      <w:r w:rsidR="00A90858" w:rsidRPr="00A90858">
        <w:rPr>
          <w:rFonts w:ascii="Times New Roman" w:hAnsi="Times New Roman"/>
          <w:sz w:val="24"/>
          <w:szCs w:val="24"/>
          <w:lang w:val="en-ID"/>
        </w:rPr>
        <w:t xml:space="preserve"> Indonesia, 2023)</w:t>
      </w:r>
      <w:r w:rsidRPr="00DB31FA">
        <w:rPr>
          <w:rFonts w:ascii="Times New Roman" w:hAnsi="Times New Roman"/>
          <w:sz w:val="24"/>
          <w:szCs w:val="24"/>
          <w:lang w:val="en-ID"/>
        </w:rPr>
        <w:t>.</w:t>
      </w:r>
    </w:p>
    <w:p w14:paraId="331D7BF4" w14:textId="77777777" w:rsidR="00DB31FA" w:rsidRPr="00DB31FA" w:rsidRDefault="00DB31FA" w:rsidP="00DB31FA">
      <w:pPr>
        <w:spacing w:after="0" w:line="240" w:lineRule="auto"/>
        <w:ind w:firstLine="562"/>
        <w:jc w:val="both"/>
        <w:rPr>
          <w:rFonts w:ascii="Times New Roman" w:hAnsi="Times New Roman"/>
          <w:sz w:val="24"/>
          <w:szCs w:val="24"/>
          <w:lang w:val="en-ID"/>
        </w:rPr>
      </w:pPr>
      <w:r w:rsidRPr="00DB31FA">
        <w:rPr>
          <w:rFonts w:ascii="Times New Roman" w:hAnsi="Times New Roman"/>
          <w:sz w:val="24"/>
          <w:szCs w:val="24"/>
          <w:lang w:val="en-ID"/>
        </w:rPr>
        <w:t>Previous studies have widely examined financial accountability in non-profit organizations such as zakat institutions, foundations, and public sector entities. However, research specifically focusing on Islamic boarding school cooperatives remains limited. Furthermore, prior studies tend to examine accounting knowledge or managerial competence separately, rather than simultaneously assessing their combined effect on financial accountability.</w:t>
      </w:r>
    </w:p>
    <w:p w14:paraId="0D292193" w14:textId="7722F618" w:rsidR="00DB31FA" w:rsidRPr="00DB31FA" w:rsidRDefault="00DB31FA" w:rsidP="00DB31FA">
      <w:pPr>
        <w:spacing w:after="0" w:line="240" w:lineRule="auto"/>
        <w:ind w:firstLine="562"/>
        <w:jc w:val="both"/>
        <w:rPr>
          <w:rFonts w:ascii="Times New Roman" w:hAnsi="Times New Roman"/>
          <w:sz w:val="24"/>
          <w:szCs w:val="24"/>
          <w:lang w:val="en-ID"/>
        </w:rPr>
      </w:pPr>
      <w:r w:rsidRPr="00DB31FA">
        <w:rPr>
          <w:rFonts w:ascii="Times New Roman" w:hAnsi="Times New Roman"/>
          <w:sz w:val="24"/>
          <w:szCs w:val="24"/>
          <w:lang w:val="en-ID"/>
        </w:rPr>
        <w:t xml:space="preserve">This gap highlights the need for empirical investigation into how understanding accounting standards and management competence interact in shaping financial accountability within Islamic boarding </w:t>
      </w:r>
      <w:proofErr w:type="gramStart"/>
      <w:r w:rsidRPr="00DB31FA">
        <w:rPr>
          <w:rFonts w:ascii="Times New Roman" w:hAnsi="Times New Roman"/>
          <w:sz w:val="24"/>
          <w:szCs w:val="24"/>
          <w:lang w:val="en-ID"/>
        </w:rPr>
        <w:t>schools</w:t>
      </w:r>
      <w:proofErr w:type="gramEnd"/>
      <w:r w:rsidRPr="00DB31FA">
        <w:rPr>
          <w:rFonts w:ascii="Times New Roman" w:hAnsi="Times New Roman"/>
          <w:sz w:val="24"/>
          <w:szCs w:val="24"/>
          <w:lang w:val="en-ID"/>
        </w:rPr>
        <w:t xml:space="preserve"> cooperatives. Therefore, this study aims to </w:t>
      </w:r>
      <w:proofErr w:type="spellStart"/>
      <w:r w:rsidRPr="00DB31FA">
        <w:rPr>
          <w:rFonts w:ascii="Times New Roman" w:hAnsi="Times New Roman"/>
          <w:sz w:val="24"/>
          <w:szCs w:val="24"/>
          <w:lang w:val="en-ID"/>
        </w:rPr>
        <w:t>analyze</w:t>
      </w:r>
      <w:proofErr w:type="spellEnd"/>
      <w:r w:rsidRPr="00DB31FA">
        <w:rPr>
          <w:rFonts w:ascii="Times New Roman" w:hAnsi="Times New Roman"/>
          <w:sz w:val="24"/>
          <w:szCs w:val="24"/>
          <w:lang w:val="en-ID"/>
        </w:rPr>
        <w:t>:</w:t>
      </w:r>
    </w:p>
    <w:p w14:paraId="7DF9C763" w14:textId="77777777" w:rsidR="00DB31FA" w:rsidRPr="00DB31FA" w:rsidRDefault="00DB31FA" w:rsidP="00DB31FA">
      <w:pPr>
        <w:numPr>
          <w:ilvl w:val="0"/>
          <w:numId w:val="21"/>
        </w:numPr>
        <w:spacing w:after="0" w:line="240" w:lineRule="auto"/>
        <w:jc w:val="both"/>
        <w:rPr>
          <w:rFonts w:ascii="Times New Roman" w:hAnsi="Times New Roman"/>
          <w:sz w:val="24"/>
          <w:szCs w:val="24"/>
          <w:lang w:val="en-ID"/>
        </w:rPr>
      </w:pPr>
      <w:r w:rsidRPr="00DB31FA">
        <w:rPr>
          <w:rFonts w:ascii="Times New Roman" w:hAnsi="Times New Roman"/>
          <w:sz w:val="24"/>
          <w:szCs w:val="24"/>
          <w:lang w:val="en-ID"/>
        </w:rPr>
        <w:t xml:space="preserve">The effect of understanding Financial Accounting Standards on financial accountability </w:t>
      </w:r>
    </w:p>
    <w:p w14:paraId="726309A3" w14:textId="77777777" w:rsidR="00DB31FA" w:rsidRPr="00DB31FA" w:rsidRDefault="00DB31FA" w:rsidP="00DB31FA">
      <w:pPr>
        <w:numPr>
          <w:ilvl w:val="0"/>
          <w:numId w:val="21"/>
        </w:numPr>
        <w:spacing w:after="0" w:line="240" w:lineRule="auto"/>
        <w:jc w:val="both"/>
        <w:rPr>
          <w:rFonts w:ascii="Times New Roman" w:hAnsi="Times New Roman"/>
          <w:sz w:val="24"/>
          <w:szCs w:val="24"/>
          <w:lang w:val="en-ID"/>
        </w:rPr>
      </w:pPr>
      <w:r w:rsidRPr="00DB31FA">
        <w:rPr>
          <w:rFonts w:ascii="Times New Roman" w:hAnsi="Times New Roman"/>
          <w:sz w:val="24"/>
          <w:szCs w:val="24"/>
          <w:lang w:val="en-ID"/>
        </w:rPr>
        <w:t xml:space="preserve">The effect of management competence on financial accountability </w:t>
      </w:r>
    </w:p>
    <w:p w14:paraId="5C75A8FA" w14:textId="77777777" w:rsidR="00DB31FA" w:rsidRPr="00DB31FA" w:rsidRDefault="00DB31FA" w:rsidP="00DB31FA">
      <w:pPr>
        <w:numPr>
          <w:ilvl w:val="0"/>
          <w:numId w:val="21"/>
        </w:numPr>
        <w:spacing w:after="0" w:line="240" w:lineRule="auto"/>
        <w:jc w:val="both"/>
        <w:rPr>
          <w:rFonts w:ascii="Times New Roman" w:hAnsi="Times New Roman"/>
          <w:sz w:val="24"/>
          <w:szCs w:val="24"/>
          <w:lang w:val="en-ID"/>
        </w:rPr>
      </w:pPr>
      <w:r w:rsidRPr="00DB31FA">
        <w:rPr>
          <w:rFonts w:ascii="Times New Roman" w:hAnsi="Times New Roman"/>
          <w:sz w:val="24"/>
          <w:szCs w:val="24"/>
          <w:lang w:val="en-ID"/>
        </w:rPr>
        <w:t>The simultaneous effect of both variables on financial accountability in modern Islamic boarding school cooperatives in Aceh Besar</w:t>
      </w:r>
    </w:p>
    <w:p w14:paraId="617128A5" w14:textId="4AB32F3D" w:rsidR="000D219E" w:rsidRPr="00DB31FA" w:rsidRDefault="000D219E" w:rsidP="00DB31FA">
      <w:pPr>
        <w:spacing w:after="0" w:line="240" w:lineRule="auto"/>
        <w:ind w:firstLine="562"/>
        <w:jc w:val="both"/>
        <w:rPr>
          <w:rFonts w:ascii="Times New Roman" w:hAnsi="Times New Roman"/>
          <w:sz w:val="24"/>
          <w:szCs w:val="24"/>
        </w:rPr>
      </w:pPr>
    </w:p>
    <w:p w14:paraId="4D313688" w14:textId="77777777" w:rsidR="00CF3CA1" w:rsidRPr="00634451" w:rsidRDefault="00FF081B" w:rsidP="009F4E4A">
      <w:pPr>
        <w:pStyle w:val="ListParagraph"/>
        <w:spacing w:after="0" w:line="240" w:lineRule="auto"/>
        <w:ind w:left="284" w:hanging="284"/>
        <w:jc w:val="both"/>
        <w:rPr>
          <w:rFonts w:ascii="Times New Roman" w:hAnsi="Times New Roman"/>
          <w:b/>
          <w:sz w:val="24"/>
          <w:szCs w:val="24"/>
        </w:rPr>
      </w:pPr>
      <w:r>
        <w:rPr>
          <w:rFonts w:ascii="Times New Roman" w:hAnsi="Times New Roman"/>
          <w:b/>
          <w:sz w:val="24"/>
          <w:szCs w:val="24"/>
        </w:rPr>
        <w:t xml:space="preserve">MATERIAL AND </w:t>
      </w:r>
      <w:r w:rsidR="00137BE0">
        <w:rPr>
          <w:rFonts w:ascii="Times New Roman" w:hAnsi="Times New Roman"/>
          <w:b/>
          <w:sz w:val="24"/>
          <w:szCs w:val="24"/>
        </w:rPr>
        <w:t>METHOD</w:t>
      </w:r>
      <w:r w:rsidR="00F802D1" w:rsidRPr="00634451">
        <w:rPr>
          <w:rFonts w:ascii="Times New Roman" w:hAnsi="Times New Roman"/>
          <w:b/>
          <w:sz w:val="24"/>
          <w:szCs w:val="24"/>
          <w:lang w:val="id-ID"/>
        </w:rPr>
        <w:t xml:space="preserve"> </w:t>
      </w:r>
    </w:p>
    <w:p w14:paraId="1F8F8CB1" w14:textId="77777777" w:rsidR="00D437E5" w:rsidRPr="00D437E5" w:rsidRDefault="00D437E5" w:rsidP="00D437E5">
      <w:pPr>
        <w:spacing w:before="120" w:after="0" w:line="240" w:lineRule="auto"/>
        <w:ind w:firstLine="720"/>
        <w:jc w:val="both"/>
        <w:rPr>
          <w:rFonts w:ascii="Times New Roman" w:hAnsi="Times New Roman"/>
          <w:sz w:val="24"/>
          <w:szCs w:val="24"/>
        </w:rPr>
      </w:pPr>
      <w:r w:rsidRPr="00D437E5">
        <w:rPr>
          <w:rFonts w:ascii="Times New Roman" w:hAnsi="Times New Roman"/>
          <w:sz w:val="24"/>
          <w:szCs w:val="24"/>
        </w:rPr>
        <w:t>This study employs a quantitative research approach with a causal design to examine the relationships between variables. The research was conducted in modern Islamic boarding school cooperatives located in Aceh Besar.</w:t>
      </w:r>
    </w:p>
    <w:p w14:paraId="01FF78D0" w14:textId="77777777" w:rsidR="00D437E5" w:rsidRPr="00D437E5" w:rsidRDefault="00D437E5" w:rsidP="00D437E5">
      <w:pPr>
        <w:spacing w:before="120" w:after="0" w:line="240" w:lineRule="auto"/>
        <w:ind w:firstLine="720"/>
        <w:jc w:val="both"/>
        <w:rPr>
          <w:rFonts w:ascii="Times New Roman" w:hAnsi="Times New Roman"/>
          <w:sz w:val="24"/>
          <w:szCs w:val="24"/>
        </w:rPr>
      </w:pPr>
      <w:r w:rsidRPr="00D437E5">
        <w:rPr>
          <w:rFonts w:ascii="Times New Roman" w:hAnsi="Times New Roman"/>
          <w:sz w:val="24"/>
          <w:szCs w:val="24"/>
        </w:rPr>
        <w:t xml:space="preserve">The population consists of cooperative management personnel within these </w:t>
      </w:r>
      <w:proofErr w:type="spellStart"/>
      <w:r w:rsidRPr="00D437E5">
        <w:rPr>
          <w:rFonts w:ascii="Times New Roman" w:hAnsi="Times New Roman"/>
          <w:sz w:val="24"/>
          <w:szCs w:val="24"/>
        </w:rPr>
        <w:t>pesantren</w:t>
      </w:r>
      <w:proofErr w:type="spellEnd"/>
      <w:r w:rsidRPr="00D437E5">
        <w:rPr>
          <w:rFonts w:ascii="Times New Roman" w:hAnsi="Times New Roman"/>
          <w:sz w:val="24"/>
          <w:szCs w:val="24"/>
        </w:rPr>
        <w:t>. A purposive sampling technique was used to select respondents based on specific criteria, resulting in a total sample of 30 respondents.</w:t>
      </w:r>
    </w:p>
    <w:p w14:paraId="31A4938D" w14:textId="77777777" w:rsidR="00D437E5" w:rsidRPr="00D437E5" w:rsidRDefault="00D437E5" w:rsidP="00D437E5">
      <w:pPr>
        <w:spacing w:before="120" w:after="0" w:line="240" w:lineRule="auto"/>
        <w:ind w:firstLine="720"/>
        <w:jc w:val="both"/>
        <w:rPr>
          <w:rFonts w:ascii="Times New Roman" w:hAnsi="Times New Roman"/>
          <w:sz w:val="24"/>
          <w:szCs w:val="24"/>
        </w:rPr>
      </w:pPr>
      <w:r w:rsidRPr="00D437E5">
        <w:rPr>
          <w:rFonts w:ascii="Times New Roman" w:hAnsi="Times New Roman"/>
          <w:sz w:val="24"/>
          <w:szCs w:val="24"/>
        </w:rPr>
        <w:t>Data were collected through structured questionnaires designed to measure:</w:t>
      </w:r>
    </w:p>
    <w:p w14:paraId="27204BBD" w14:textId="77777777" w:rsidR="00D437E5" w:rsidRPr="00D437E5" w:rsidRDefault="00D437E5" w:rsidP="00D437E5">
      <w:pPr>
        <w:pStyle w:val="ListParagraph"/>
        <w:numPr>
          <w:ilvl w:val="0"/>
          <w:numId w:val="22"/>
        </w:numPr>
        <w:spacing w:before="120" w:after="0" w:line="240" w:lineRule="auto"/>
        <w:ind w:left="709"/>
        <w:jc w:val="both"/>
        <w:rPr>
          <w:rFonts w:ascii="Times New Roman" w:hAnsi="Times New Roman"/>
          <w:sz w:val="24"/>
          <w:szCs w:val="24"/>
        </w:rPr>
      </w:pPr>
      <w:r w:rsidRPr="00D437E5">
        <w:rPr>
          <w:rFonts w:ascii="Times New Roman" w:hAnsi="Times New Roman"/>
          <w:sz w:val="24"/>
          <w:szCs w:val="24"/>
        </w:rPr>
        <w:t>Understanding of Financial Accounting Standards (independent variable X</w:t>
      </w:r>
      <w:r w:rsidRPr="00D437E5">
        <w:rPr>
          <w:rFonts w:ascii="Times New Roman" w:hAnsi="Times New Roman"/>
          <w:sz w:val="24"/>
          <w:szCs w:val="24"/>
          <w:vertAlign w:val="subscript"/>
        </w:rPr>
        <w:t>1</w:t>
      </w:r>
      <w:r w:rsidRPr="00D437E5">
        <w:rPr>
          <w:rFonts w:ascii="Times New Roman" w:hAnsi="Times New Roman"/>
          <w:sz w:val="24"/>
          <w:szCs w:val="24"/>
        </w:rPr>
        <w:t>)</w:t>
      </w:r>
    </w:p>
    <w:p w14:paraId="1D0663A2" w14:textId="77777777" w:rsidR="00D437E5" w:rsidRPr="00D437E5" w:rsidRDefault="00D437E5" w:rsidP="00D437E5">
      <w:pPr>
        <w:pStyle w:val="ListParagraph"/>
        <w:numPr>
          <w:ilvl w:val="0"/>
          <w:numId w:val="22"/>
        </w:numPr>
        <w:spacing w:before="120" w:after="0" w:line="240" w:lineRule="auto"/>
        <w:ind w:left="709"/>
        <w:jc w:val="both"/>
        <w:rPr>
          <w:rFonts w:ascii="Times New Roman" w:hAnsi="Times New Roman"/>
          <w:sz w:val="24"/>
          <w:szCs w:val="24"/>
        </w:rPr>
      </w:pPr>
      <w:r w:rsidRPr="00D437E5">
        <w:rPr>
          <w:rFonts w:ascii="Times New Roman" w:hAnsi="Times New Roman"/>
          <w:sz w:val="24"/>
          <w:szCs w:val="24"/>
        </w:rPr>
        <w:t>Management competence (independent variable X</w:t>
      </w:r>
      <w:r w:rsidRPr="00D437E5">
        <w:rPr>
          <w:rFonts w:ascii="Times New Roman" w:hAnsi="Times New Roman"/>
          <w:sz w:val="24"/>
          <w:szCs w:val="24"/>
          <w:vertAlign w:val="subscript"/>
        </w:rPr>
        <w:t>2</w:t>
      </w:r>
      <w:r w:rsidRPr="00D437E5">
        <w:rPr>
          <w:rFonts w:ascii="Times New Roman" w:hAnsi="Times New Roman"/>
          <w:sz w:val="24"/>
          <w:szCs w:val="24"/>
        </w:rPr>
        <w:t>)</w:t>
      </w:r>
    </w:p>
    <w:p w14:paraId="19290CC1" w14:textId="77777777" w:rsidR="00D437E5" w:rsidRPr="00D437E5" w:rsidRDefault="00D437E5" w:rsidP="00D437E5">
      <w:pPr>
        <w:pStyle w:val="ListParagraph"/>
        <w:numPr>
          <w:ilvl w:val="0"/>
          <w:numId w:val="22"/>
        </w:numPr>
        <w:spacing w:before="120" w:after="0" w:line="240" w:lineRule="auto"/>
        <w:ind w:left="709"/>
        <w:jc w:val="both"/>
        <w:rPr>
          <w:rFonts w:ascii="Times New Roman" w:hAnsi="Times New Roman"/>
          <w:sz w:val="24"/>
          <w:szCs w:val="24"/>
        </w:rPr>
      </w:pPr>
      <w:r w:rsidRPr="00D437E5">
        <w:rPr>
          <w:rFonts w:ascii="Times New Roman" w:hAnsi="Times New Roman"/>
          <w:sz w:val="24"/>
          <w:szCs w:val="24"/>
        </w:rPr>
        <w:t>Financial accountability of cooperative management (dependent variable Y)</w:t>
      </w:r>
    </w:p>
    <w:p w14:paraId="2B7C6FD0" w14:textId="77777777" w:rsidR="00D437E5" w:rsidRPr="00D437E5" w:rsidRDefault="00D437E5" w:rsidP="00D437E5">
      <w:pPr>
        <w:spacing w:before="120" w:after="0" w:line="240" w:lineRule="auto"/>
        <w:ind w:firstLine="720"/>
        <w:jc w:val="both"/>
        <w:rPr>
          <w:rFonts w:ascii="Times New Roman" w:hAnsi="Times New Roman"/>
          <w:sz w:val="24"/>
          <w:szCs w:val="24"/>
        </w:rPr>
      </w:pPr>
      <w:r w:rsidRPr="00D437E5">
        <w:rPr>
          <w:rFonts w:ascii="Times New Roman" w:hAnsi="Times New Roman"/>
          <w:sz w:val="24"/>
          <w:szCs w:val="24"/>
        </w:rPr>
        <w:t>The measurement indicators were adapted from relevant literature on accounting understanding, managerial competence, and financial accountability in non-profit organizations.</w:t>
      </w:r>
    </w:p>
    <w:p w14:paraId="078BD67D" w14:textId="77777777" w:rsidR="00D437E5" w:rsidRDefault="00D437E5" w:rsidP="00D437E5">
      <w:pPr>
        <w:spacing w:before="120" w:after="0" w:line="240" w:lineRule="auto"/>
        <w:ind w:firstLine="720"/>
        <w:jc w:val="both"/>
        <w:rPr>
          <w:rFonts w:ascii="Times New Roman" w:hAnsi="Times New Roman"/>
          <w:sz w:val="24"/>
          <w:szCs w:val="24"/>
        </w:rPr>
      </w:pPr>
      <w:r w:rsidRPr="00D437E5">
        <w:rPr>
          <w:rFonts w:ascii="Times New Roman" w:hAnsi="Times New Roman"/>
          <w:sz w:val="24"/>
          <w:szCs w:val="24"/>
        </w:rPr>
        <w:t>Data analysis was carried out using multiple linear regression. Prior to hypothesis testing, classical assumption tests were conducted, including</w:t>
      </w:r>
      <w:r>
        <w:rPr>
          <w:rFonts w:ascii="Times New Roman" w:hAnsi="Times New Roman"/>
          <w:sz w:val="24"/>
          <w:szCs w:val="24"/>
        </w:rPr>
        <w:t xml:space="preserve">; </w:t>
      </w:r>
      <w:r w:rsidRPr="00D437E5">
        <w:rPr>
          <w:rFonts w:ascii="Times New Roman" w:hAnsi="Times New Roman"/>
          <w:sz w:val="24"/>
          <w:szCs w:val="24"/>
        </w:rPr>
        <w:t>Validity and reliability tests</w:t>
      </w:r>
      <w:r>
        <w:rPr>
          <w:rFonts w:ascii="Times New Roman" w:hAnsi="Times New Roman"/>
          <w:sz w:val="24"/>
          <w:szCs w:val="24"/>
        </w:rPr>
        <w:t xml:space="preserve">, </w:t>
      </w:r>
      <w:r w:rsidRPr="00D437E5">
        <w:rPr>
          <w:rFonts w:ascii="Times New Roman" w:hAnsi="Times New Roman"/>
          <w:sz w:val="24"/>
          <w:szCs w:val="24"/>
        </w:rPr>
        <w:t>Normality test</w:t>
      </w:r>
      <w:r>
        <w:rPr>
          <w:rFonts w:ascii="Times New Roman" w:hAnsi="Times New Roman"/>
          <w:sz w:val="24"/>
          <w:szCs w:val="24"/>
        </w:rPr>
        <w:t xml:space="preserve">, </w:t>
      </w:r>
      <w:r w:rsidRPr="00D437E5">
        <w:rPr>
          <w:rFonts w:ascii="Times New Roman" w:hAnsi="Times New Roman"/>
          <w:sz w:val="24"/>
          <w:szCs w:val="24"/>
        </w:rPr>
        <w:t>Heteroscedasticity test</w:t>
      </w:r>
      <w:r>
        <w:rPr>
          <w:rFonts w:ascii="Times New Roman" w:hAnsi="Times New Roman"/>
          <w:sz w:val="24"/>
          <w:szCs w:val="24"/>
        </w:rPr>
        <w:t xml:space="preserve">, </w:t>
      </w:r>
      <w:r w:rsidRPr="00D437E5">
        <w:rPr>
          <w:rFonts w:ascii="Times New Roman" w:hAnsi="Times New Roman"/>
          <w:sz w:val="24"/>
          <w:szCs w:val="24"/>
        </w:rPr>
        <w:t>Multicollinearity test</w:t>
      </w:r>
      <w:r>
        <w:rPr>
          <w:rFonts w:ascii="Times New Roman" w:hAnsi="Times New Roman"/>
          <w:sz w:val="24"/>
          <w:szCs w:val="24"/>
        </w:rPr>
        <w:t xml:space="preserve">, </w:t>
      </w:r>
    </w:p>
    <w:p w14:paraId="7405CB28" w14:textId="3287488F" w:rsidR="00FB1125" w:rsidRPr="008806D1" w:rsidRDefault="00D437E5" w:rsidP="00D437E5">
      <w:pPr>
        <w:spacing w:before="120" w:after="0" w:line="240" w:lineRule="auto"/>
        <w:ind w:firstLine="720"/>
        <w:jc w:val="both"/>
        <w:rPr>
          <w:rFonts w:ascii="Times New Roman" w:hAnsi="Times New Roman"/>
          <w:sz w:val="24"/>
          <w:szCs w:val="24"/>
        </w:rPr>
      </w:pPr>
      <w:r w:rsidRPr="00D437E5">
        <w:rPr>
          <w:rFonts w:ascii="Times New Roman" w:hAnsi="Times New Roman"/>
          <w:sz w:val="24"/>
          <w:szCs w:val="24"/>
        </w:rPr>
        <w:t>Hypothesis testing included</w:t>
      </w:r>
      <w:r>
        <w:rPr>
          <w:rFonts w:ascii="Times New Roman" w:hAnsi="Times New Roman"/>
          <w:sz w:val="24"/>
          <w:szCs w:val="24"/>
        </w:rPr>
        <w:t xml:space="preserve">; </w:t>
      </w:r>
      <w:r w:rsidRPr="00D437E5">
        <w:rPr>
          <w:rFonts w:ascii="Times New Roman" w:hAnsi="Times New Roman"/>
          <w:sz w:val="24"/>
          <w:szCs w:val="24"/>
        </w:rPr>
        <w:t>Partial test (t-test) to examine individual variable effects</w:t>
      </w:r>
      <w:r>
        <w:rPr>
          <w:rFonts w:ascii="Times New Roman" w:hAnsi="Times New Roman"/>
          <w:sz w:val="24"/>
          <w:szCs w:val="24"/>
        </w:rPr>
        <w:t xml:space="preserve">, </w:t>
      </w:r>
      <w:r w:rsidRPr="00D437E5">
        <w:rPr>
          <w:rFonts w:ascii="Times New Roman" w:hAnsi="Times New Roman"/>
          <w:sz w:val="24"/>
          <w:szCs w:val="24"/>
        </w:rPr>
        <w:t>Simultaneous test (F-test) to assess joint influence</w:t>
      </w:r>
      <w:r>
        <w:rPr>
          <w:rFonts w:ascii="Times New Roman" w:hAnsi="Times New Roman"/>
          <w:sz w:val="24"/>
          <w:szCs w:val="24"/>
        </w:rPr>
        <w:t xml:space="preserve">, </w:t>
      </w:r>
      <w:r w:rsidRPr="00D437E5">
        <w:rPr>
          <w:rFonts w:ascii="Times New Roman" w:hAnsi="Times New Roman"/>
          <w:sz w:val="24"/>
          <w:szCs w:val="24"/>
        </w:rPr>
        <w:t>Coefficient of determination (R²) to measure explanatory power of the model</w:t>
      </w:r>
      <w:r w:rsidR="00FF081B" w:rsidRPr="00FF081B">
        <w:rPr>
          <w:rFonts w:ascii="Times New Roman" w:hAnsi="Times New Roman"/>
          <w:sz w:val="24"/>
          <w:szCs w:val="24"/>
        </w:rPr>
        <w:t xml:space="preserve">. </w:t>
      </w:r>
      <w:r w:rsidR="00DA1103" w:rsidRPr="008806D1">
        <w:rPr>
          <w:rFonts w:ascii="Times New Roman" w:hAnsi="Times New Roman"/>
          <w:sz w:val="24"/>
          <w:szCs w:val="24"/>
          <w:lang w:val="id-ID"/>
        </w:rPr>
        <w:t xml:space="preserve"> </w:t>
      </w:r>
    </w:p>
    <w:p w14:paraId="1D4FAFE0" w14:textId="77777777" w:rsidR="009F4E4A" w:rsidRDefault="009F4E4A" w:rsidP="009F4E4A">
      <w:pPr>
        <w:pStyle w:val="ListParagraph"/>
        <w:spacing w:after="120" w:line="240" w:lineRule="auto"/>
        <w:ind w:left="284"/>
        <w:jc w:val="both"/>
        <w:rPr>
          <w:rFonts w:ascii="Times New Roman" w:hAnsi="Times New Roman"/>
          <w:b/>
          <w:sz w:val="24"/>
          <w:szCs w:val="24"/>
        </w:rPr>
      </w:pPr>
    </w:p>
    <w:p w14:paraId="151ADF0C" w14:textId="77777777" w:rsidR="009F4E4A" w:rsidRDefault="009F4E4A" w:rsidP="009F4E4A">
      <w:pPr>
        <w:pStyle w:val="ListParagraph"/>
        <w:spacing w:after="120" w:line="240" w:lineRule="auto"/>
        <w:ind w:left="284"/>
        <w:jc w:val="both"/>
        <w:rPr>
          <w:rFonts w:ascii="Times New Roman" w:hAnsi="Times New Roman"/>
          <w:b/>
          <w:sz w:val="24"/>
          <w:szCs w:val="24"/>
        </w:rPr>
      </w:pPr>
    </w:p>
    <w:p w14:paraId="514378D2" w14:textId="77777777" w:rsidR="00D437E5" w:rsidRDefault="00D437E5" w:rsidP="009F4E4A">
      <w:pPr>
        <w:pStyle w:val="ListParagraph"/>
        <w:spacing w:after="120" w:line="240" w:lineRule="auto"/>
        <w:ind w:left="284" w:hanging="284"/>
        <w:jc w:val="both"/>
        <w:rPr>
          <w:rFonts w:ascii="Times New Roman" w:hAnsi="Times New Roman"/>
          <w:b/>
          <w:sz w:val="24"/>
          <w:szCs w:val="24"/>
        </w:rPr>
      </w:pPr>
    </w:p>
    <w:p w14:paraId="42EB8B74" w14:textId="4AD10F44" w:rsidR="00CF3CA1" w:rsidRDefault="000F0155" w:rsidP="009F4E4A">
      <w:pPr>
        <w:pStyle w:val="ListParagraph"/>
        <w:spacing w:after="120" w:line="240" w:lineRule="auto"/>
        <w:ind w:left="284" w:hanging="284"/>
        <w:jc w:val="both"/>
        <w:rPr>
          <w:rFonts w:ascii="Times New Roman" w:hAnsi="Times New Roman"/>
          <w:b/>
          <w:sz w:val="24"/>
          <w:szCs w:val="24"/>
        </w:rPr>
      </w:pPr>
      <w:r>
        <w:rPr>
          <w:rFonts w:ascii="Times New Roman" w:hAnsi="Times New Roman"/>
          <w:b/>
          <w:sz w:val="24"/>
          <w:szCs w:val="24"/>
        </w:rPr>
        <w:t>RESULTS AND DISCUSSION</w:t>
      </w:r>
    </w:p>
    <w:p w14:paraId="414FED4C" w14:textId="2C9159C1" w:rsidR="00723754" w:rsidRPr="008806D1" w:rsidRDefault="00723754" w:rsidP="009F4E4A">
      <w:pPr>
        <w:pStyle w:val="ListParagraph"/>
        <w:spacing w:after="120" w:line="240" w:lineRule="auto"/>
        <w:ind w:left="284" w:hanging="284"/>
        <w:jc w:val="both"/>
        <w:rPr>
          <w:rFonts w:ascii="Times New Roman" w:hAnsi="Times New Roman"/>
          <w:b/>
          <w:sz w:val="24"/>
          <w:szCs w:val="24"/>
        </w:rPr>
      </w:pPr>
      <w:r>
        <w:rPr>
          <w:rFonts w:ascii="Times New Roman" w:hAnsi="Times New Roman"/>
          <w:b/>
          <w:sz w:val="24"/>
          <w:szCs w:val="24"/>
        </w:rPr>
        <w:t>Result</w:t>
      </w:r>
    </w:p>
    <w:p w14:paraId="15A1D654" w14:textId="6011DB75" w:rsidR="00466522" w:rsidRDefault="00466522" w:rsidP="00C452F2">
      <w:pPr>
        <w:spacing w:after="0" w:line="240" w:lineRule="auto"/>
        <w:jc w:val="both"/>
        <w:rPr>
          <w:rFonts w:ascii="Times New Roman" w:hAnsi="Times New Roman"/>
          <w:sz w:val="24"/>
          <w:szCs w:val="24"/>
        </w:rPr>
      </w:pPr>
      <w:r>
        <w:rPr>
          <w:rFonts w:ascii="Times New Roman" w:hAnsi="Times New Roman"/>
          <w:sz w:val="24"/>
          <w:szCs w:val="24"/>
        </w:rPr>
        <w:tab/>
      </w:r>
      <w:r w:rsidR="000A0FCE" w:rsidRPr="000A0FCE">
        <w:rPr>
          <w:rFonts w:ascii="Times New Roman" w:hAnsi="Times New Roman"/>
          <w:sz w:val="24"/>
          <w:szCs w:val="24"/>
        </w:rPr>
        <w:t>Based on the validity test results, all questions in the questionnaire were found to be valid, as they obtained scores above the critical value of 0.361. Furthermore, the reliability test results showed that all variables had Cronbach's alpha values ​​above 0.60, thus concluding that the instrument has adequate and acceptable internal consistency, indicating a good level of reliability.</w:t>
      </w:r>
      <w:r w:rsidR="00C452F2">
        <w:rPr>
          <w:rFonts w:ascii="Times New Roman" w:hAnsi="Times New Roman"/>
          <w:sz w:val="24"/>
          <w:szCs w:val="24"/>
        </w:rPr>
        <w:t xml:space="preserve"> </w:t>
      </w:r>
      <w:r w:rsidR="00C452F2" w:rsidRPr="00C452F2">
        <w:rPr>
          <w:rFonts w:ascii="Times New Roman" w:hAnsi="Times New Roman"/>
          <w:sz w:val="24"/>
          <w:szCs w:val="24"/>
        </w:rPr>
        <w:t>For classical assumption testing, the overall results (normality, heteroscedasticity, and multicollinearity tests)</w:t>
      </w:r>
      <w:r w:rsidR="00C452F2">
        <w:rPr>
          <w:rFonts w:ascii="Times New Roman" w:hAnsi="Times New Roman"/>
          <w:sz w:val="24"/>
          <w:szCs w:val="24"/>
        </w:rPr>
        <w:t xml:space="preserve">, </w:t>
      </w:r>
      <w:r w:rsidR="00C452F2" w:rsidRPr="00C452F2">
        <w:rPr>
          <w:rFonts w:ascii="Times New Roman" w:hAnsi="Times New Roman"/>
          <w:sz w:val="24"/>
          <w:szCs w:val="24"/>
        </w:rPr>
        <w:t>met the requirements for the next test, namely linear regression.</w:t>
      </w:r>
    </w:p>
    <w:p w14:paraId="6D6F6DF9" w14:textId="563EA78F" w:rsidR="00A57188" w:rsidRPr="00A57188" w:rsidRDefault="00A57188" w:rsidP="00A57188">
      <w:pPr>
        <w:spacing w:after="0" w:line="240" w:lineRule="auto"/>
        <w:jc w:val="center"/>
        <w:rPr>
          <w:rFonts w:ascii="Times New Roman" w:hAnsi="Times New Roman"/>
          <w:b/>
          <w:bCs/>
          <w:sz w:val="24"/>
          <w:szCs w:val="24"/>
        </w:rPr>
      </w:pPr>
      <w:r w:rsidRPr="00A57188">
        <w:rPr>
          <w:rFonts w:ascii="Times New Roman" w:hAnsi="Times New Roman"/>
          <w:b/>
          <w:bCs/>
          <w:sz w:val="24"/>
          <w:szCs w:val="24"/>
        </w:rPr>
        <w:t xml:space="preserve">Table 1. </w:t>
      </w:r>
      <w:r w:rsidRPr="00A57188">
        <w:rPr>
          <w:rFonts w:ascii="Times New Roman" w:hAnsi="Times New Roman"/>
          <w:b/>
          <w:bCs/>
          <w:sz w:val="24"/>
          <w:szCs w:val="24"/>
        </w:rPr>
        <w:t>Multiple Linear Regression Analysis Test Results</w:t>
      </w:r>
    </w:p>
    <w:tbl>
      <w:tblPr>
        <w:tblStyle w:val="TableGrid1"/>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235"/>
        <w:gridCol w:w="2026"/>
        <w:gridCol w:w="1432"/>
        <w:gridCol w:w="1119"/>
      </w:tblGrid>
      <w:tr w:rsidR="00A57188" w:rsidRPr="005B7835" w14:paraId="6A254958" w14:textId="5E9D16A7" w:rsidTr="00A57188">
        <w:trPr>
          <w:jc w:val="center"/>
        </w:trPr>
        <w:tc>
          <w:tcPr>
            <w:tcW w:w="1235" w:type="dxa"/>
            <w:vAlign w:val="center"/>
          </w:tcPr>
          <w:p w14:paraId="7716954C" w14:textId="0ACFFE23" w:rsidR="00A57188" w:rsidRPr="00A57188" w:rsidRDefault="00A57188" w:rsidP="005B7835">
            <w:pPr>
              <w:autoSpaceDE w:val="0"/>
              <w:autoSpaceDN w:val="0"/>
              <w:adjustRightInd w:val="0"/>
              <w:spacing w:after="0" w:line="240" w:lineRule="auto"/>
              <w:jc w:val="center"/>
              <w:rPr>
                <w:rFonts w:ascii="Times New Roman" w:hAnsi="Times New Roman" w:cs="Times New Roman"/>
                <w:b/>
                <w:bCs/>
                <w:color w:val="000000"/>
              </w:rPr>
            </w:pPr>
            <w:r w:rsidRPr="00A57188">
              <w:rPr>
                <w:rFonts w:ascii="Times New Roman" w:hAnsi="Times New Roman" w:cs="Times New Roman"/>
                <w:b/>
                <w:bCs/>
                <w:color w:val="000000"/>
              </w:rPr>
              <w:t>Variable</w:t>
            </w:r>
          </w:p>
        </w:tc>
        <w:tc>
          <w:tcPr>
            <w:tcW w:w="2026" w:type="dxa"/>
            <w:vAlign w:val="center"/>
          </w:tcPr>
          <w:p w14:paraId="386A8962" w14:textId="266D0F3C" w:rsidR="00A57188" w:rsidRPr="005B7835" w:rsidRDefault="00A57188" w:rsidP="005B7835">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b/>
                <w:bCs/>
              </w:rPr>
              <w:t>B</w:t>
            </w:r>
          </w:p>
        </w:tc>
        <w:tc>
          <w:tcPr>
            <w:tcW w:w="1432" w:type="dxa"/>
          </w:tcPr>
          <w:p w14:paraId="1A34EA04" w14:textId="2288BAAC" w:rsidR="00A57188" w:rsidRDefault="00A57188" w:rsidP="005B7835">
            <w:pPr>
              <w:autoSpaceDE w:val="0"/>
              <w:autoSpaceDN w:val="0"/>
              <w:adjustRightInd w:val="0"/>
              <w:spacing w:after="0" w:line="240" w:lineRule="auto"/>
              <w:jc w:val="center"/>
              <w:rPr>
                <w:rFonts w:ascii="Times New Roman" w:hAnsi="Times New Roman"/>
                <w:b/>
                <w:bCs/>
              </w:rPr>
            </w:pPr>
            <w:r>
              <w:rPr>
                <w:rFonts w:ascii="Times New Roman" w:hAnsi="Times New Roman"/>
                <w:b/>
                <w:bCs/>
              </w:rPr>
              <w:t>t</w:t>
            </w:r>
          </w:p>
        </w:tc>
        <w:tc>
          <w:tcPr>
            <w:tcW w:w="1119" w:type="dxa"/>
          </w:tcPr>
          <w:p w14:paraId="4B7ADD75" w14:textId="60D660F4" w:rsidR="00A57188" w:rsidRDefault="00A57188" w:rsidP="005B7835">
            <w:pPr>
              <w:autoSpaceDE w:val="0"/>
              <w:autoSpaceDN w:val="0"/>
              <w:adjustRightInd w:val="0"/>
              <w:spacing w:after="0" w:line="240" w:lineRule="auto"/>
              <w:jc w:val="center"/>
              <w:rPr>
                <w:rFonts w:ascii="Times New Roman" w:hAnsi="Times New Roman"/>
                <w:b/>
                <w:bCs/>
              </w:rPr>
            </w:pPr>
            <w:r>
              <w:rPr>
                <w:rFonts w:ascii="Times New Roman" w:hAnsi="Times New Roman"/>
                <w:b/>
                <w:bCs/>
              </w:rPr>
              <w:t>Sig</w:t>
            </w:r>
          </w:p>
        </w:tc>
      </w:tr>
      <w:tr w:rsidR="00A57188" w:rsidRPr="005B7835" w14:paraId="1FD4D320" w14:textId="438EB4B6" w:rsidTr="00A57188">
        <w:trPr>
          <w:jc w:val="center"/>
        </w:trPr>
        <w:tc>
          <w:tcPr>
            <w:tcW w:w="1235" w:type="dxa"/>
            <w:vAlign w:val="center"/>
          </w:tcPr>
          <w:p w14:paraId="53E45677" w14:textId="1C94138D" w:rsidR="00A57188" w:rsidRDefault="00A57188" w:rsidP="005B7835">
            <w:pPr>
              <w:autoSpaceDE w:val="0"/>
              <w:autoSpaceDN w:val="0"/>
              <w:adjustRightInd w:val="0"/>
              <w:spacing w:after="0" w:line="240" w:lineRule="auto"/>
              <w:jc w:val="center"/>
              <w:rPr>
                <w:rFonts w:ascii="Times New Roman" w:hAnsi="Times New Roman"/>
              </w:rPr>
            </w:pPr>
            <w:r>
              <w:rPr>
                <w:rFonts w:ascii="Times New Roman" w:hAnsi="Times New Roman"/>
              </w:rPr>
              <w:t>Constant</w:t>
            </w:r>
          </w:p>
        </w:tc>
        <w:tc>
          <w:tcPr>
            <w:tcW w:w="2026" w:type="dxa"/>
            <w:vAlign w:val="center"/>
          </w:tcPr>
          <w:p w14:paraId="79D5F2E9" w14:textId="5746F935" w:rsidR="00A57188" w:rsidRPr="005B7835" w:rsidRDefault="00A57188" w:rsidP="005B7835">
            <w:pPr>
              <w:autoSpaceDE w:val="0"/>
              <w:autoSpaceDN w:val="0"/>
              <w:adjustRightInd w:val="0"/>
              <w:spacing w:after="0" w:line="240" w:lineRule="auto"/>
              <w:jc w:val="center"/>
              <w:rPr>
                <w:rFonts w:ascii="Times New Roman" w:hAnsi="Times New Roman"/>
              </w:rPr>
            </w:pPr>
            <w:r w:rsidRPr="00A57188">
              <w:rPr>
                <w:rFonts w:ascii="Times New Roman" w:hAnsi="Times New Roman"/>
              </w:rPr>
              <w:t>-9.942</w:t>
            </w:r>
          </w:p>
        </w:tc>
        <w:tc>
          <w:tcPr>
            <w:tcW w:w="1432" w:type="dxa"/>
          </w:tcPr>
          <w:p w14:paraId="25C28DCB" w14:textId="756A6B67" w:rsidR="00A57188" w:rsidRPr="00A57188" w:rsidRDefault="00A57188" w:rsidP="005B7835">
            <w:pPr>
              <w:autoSpaceDE w:val="0"/>
              <w:autoSpaceDN w:val="0"/>
              <w:adjustRightInd w:val="0"/>
              <w:spacing w:after="0" w:line="240" w:lineRule="auto"/>
              <w:jc w:val="center"/>
              <w:rPr>
                <w:rFonts w:ascii="Times New Roman" w:hAnsi="Times New Roman"/>
              </w:rPr>
            </w:pPr>
            <w:r w:rsidRPr="00A57188">
              <w:rPr>
                <w:rFonts w:ascii="Times New Roman" w:hAnsi="Times New Roman"/>
              </w:rPr>
              <w:t>-1.243</w:t>
            </w:r>
          </w:p>
        </w:tc>
        <w:tc>
          <w:tcPr>
            <w:tcW w:w="1119" w:type="dxa"/>
          </w:tcPr>
          <w:p w14:paraId="54B77079" w14:textId="38077C18" w:rsidR="00A57188" w:rsidRPr="00A57188" w:rsidRDefault="00A57188" w:rsidP="005B7835">
            <w:pPr>
              <w:autoSpaceDE w:val="0"/>
              <w:autoSpaceDN w:val="0"/>
              <w:adjustRightInd w:val="0"/>
              <w:spacing w:after="0" w:line="240" w:lineRule="auto"/>
              <w:jc w:val="center"/>
              <w:rPr>
                <w:rFonts w:ascii="Times New Roman" w:hAnsi="Times New Roman"/>
              </w:rPr>
            </w:pPr>
            <w:r>
              <w:rPr>
                <w:rFonts w:ascii="Times New Roman" w:hAnsi="Times New Roman"/>
              </w:rPr>
              <w:t>0</w:t>
            </w:r>
            <w:r w:rsidRPr="00A57188">
              <w:rPr>
                <w:rFonts w:ascii="Times New Roman" w:hAnsi="Times New Roman"/>
              </w:rPr>
              <w:t>.224</w:t>
            </w:r>
          </w:p>
        </w:tc>
      </w:tr>
      <w:tr w:rsidR="00A57188" w:rsidRPr="005B7835" w14:paraId="210DBE05" w14:textId="1C62C14E" w:rsidTr="00A57188">
        <w:trPr>
          <w:jc w:val="center"/>
        </w:trPr>
        <w:tc>
          <w:tcPr>
            <w:tcW w:w="1235" w:type="dxa"/>
            <w:vAlign w:val="center"/>
          </w:tcPr>
          <w:p w14:paraId="337B9F85" w14:textId="0F8B5C4C" w:rsidR="00A57188" w:rsidRPr="005B7835" w:rsidRDefault="00A57188" w:rsidP="005B7835">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rPr>
              <w:t>X</w:t>
            </w:r>
            <w:r w:rsidRPr="002D27C0">
              <w:rPr>
                <w:rFonts w:ascii="Times New Roman" w:hAnsi="Times New Roman" w:cs="Times New Roman"/>
                <w:vertAlign w:val="subscript"/>
              </w:rPr>
              <w:t>1</w:t>
            </w:r>
          </w:p>
        </w:tc>
        <w:tc>
          <w:tcPr>
            <w:tcW w:w="2026" w:type="dxa"/>
            <w:vAlign w:val="center"/>
          </w:tcPr>
          <w:p w14:paraId="28A37008" w14:textId="1ADBBC9A" w:rsidR="00A57188" w:rsidRPr="005B7835" w:rsidRDefault="00A57188" w:rsidP="005B7835">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rPr>
              <w:t>0</w:t>
            </w:r>
            <w:r w:rsidRPr="00A57188">
              <w:rPr>
                <w:rFonts w:ascii="Times New Roman" w:hAnsi="Times New Roman" w:cs="Times New Roman"/>
              </w:rPr>
              <w:t>.674</w:t>
            </w:r>
          </w:p>
        </w:tc>
        <w:tc>
          <w:tcPr>
            <w:tcW w:w="1432" w:type="dxa"/>
          </w:tcPr>
          <w:p w14:paraId="5FD39F18" w14:textId="0AFCB66C" w:rsidR="00A57188" w:rsidRDefault="00A57188" w:rsidP="005B7835">
            <w:pPr>
              <w:autoSpaceDE w:val="0"/>
              <w:autoSpaceDN w:val="0"/>
              <w:adjustRightInd w:val="0"/>
              <w:spacing w:after="0" w:line="240" w:lineRule="auto"/>
              <w:jc w:val="center"/>
              <w:rPr>
                <w:rFonts w:ascii="Times New Roman" w:hAnsi="Times New Roman"/>
              </w:rPr>
            </w:pPr>
            <w:r w:rsidRPr="00A57188">
              <w:rPr>
                <w:rFonts w:ascii="Times New Roman" w:hAnsi="Times New Roman"/>
              </w:rPr>
              <w:t>1.425</w:t>
            </w:r>
          </w:p>
        </w:tc>
        <w:tc>
          <w:tcPr>
            <w:tcW w:w="1119" w:type="dxa"/>
          </w:tcPr>
          <w:p w14:paraId="139E7DAB" w14:textId="12306E27" w:rsidR="00A57188" w:rsidRDefault="00A57188" w:rsidP="005B7835">
            <w:pPr>
              <w:autoSpaceDE w:val="0"/>
              <w:autoSpaceDN w:val="0"/>
              <w:adjustRightInd w:val="0"/>
              <w:spacing w:after="0" w:line="240" w:lineRule="auto"/>
              <w:jc w:val="center"/>
              <w:rPr>
                <w:rFonts w:ascii="Times New Roman" w:hAnsi="Times New Roman"/>
              </w:rPr>
            </w:pPr>
            <w:r>
              <w:rPr>
                <w:rFonts w:ascii="Times New Roman" w:hAnsi="Times New Roman"/>
              </w:rPr>
              <w:t>0</w:t>
            </w:r>
            <w:r w:rsidRPr="00A57188">
              <w:rPr>
                <w:rFonts w:ascii="Times New Roman" w:hAnsi="Times New Roman"/>
              </w:rPr>
              <w:t>.166</w:t>
            </w:r>
          </w:p>
        </w:tc>
      </w:tr>
      <w:tr w:rsidR="00A57188" w:rsidRPr="005B7835" w14:paraId="746576C6" w14:textId="4247C2AB" w:rsidTr="00A57188">
        <w:trPr>
          <w:jc w:val="center"/>
        </w:trPr>
        <w:tc>
          <w:tcPr>
            <w:tcW w:w="1235" w:type="dxa"/>
            <w:vAlign w:val="center"/>
          </w:tcPr>
          <w:p w14:paraId="273F9ADD" w14:textId="73BCE237" w:rsidR="00A57188" w:rsidRPr="005B7835" w:rsidRDefault="00A57188" w:rsidP="005B7835">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rPr>
              <w:t>X</w:t>
            </w:r>
            <w:r w:rsidRPr="002D27C0">
              <w:rPr>
                <w:rFonts w:ascii="Times New Roman" w:hAnsi="Times New Roman" w:cs="Times New Roman"/>
                <w:vertAlign w:val="subscript"/>
              </w:rPr>
              <w:t>2</w:t>
            </w:r>
          </w:p>
        </w:tc>
        <w:tc>
          <w:tcPr>
            <w:tcW w:w="2026" w:type="dxa"/>
            <w:vAlign w:val="center"/>
          </w:tcPr>
          <w:p w14:paraId="4E24C9FB" w14:textId="7F8CD65C" w:rsidR="00A57188" w:rsidRPr="005B7835" w:rsidRDefault="00A57188" w:rsidP="005B7835">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rPr>
              <w:t>0</w:t>
            </w:r>
            <w:r w:rsidRPr="00A57188">
              <w:rPr>
                <w:rFonts w:ascii="Times New Roman" w:hAnsi="Times New Roman" w:cs="Times New Roman"/>
              </w:rPr>
              <w:t>.583</w:t>
            </w:r>
          </w:p>
        </w:tc>
        <w:tc>
          <w:tcPr>
            <w:tcW w:w="1432" w:type="dxa"/>
          </w:tcPr>
          <w:p w14:paraId="7FC59040" w14:textId="5352146D" w:rsidR="00A57188" w:rsidRDefault="00A57188" w:rsidP="005B7835">
            <w:pPr>
              <w:autoSpaceDE w:val="0"/>
              <w:autoSpaceDN w:val="0"/>
              <w:adjustRightInd w:val="0"/>
              <w:spacing w:after="0" w:line="240" w:lineRule="auto"/>
              <w:jc w:val="center"/>
              <w:rPr>
                <w:rFonts w:ascii="Times New Roman" w:hAnsi="Times New Roman"/>
              </w:rPr>
            </w:pPr>
            <w:r w:rsidRPr="00A57188">
              <w:rPr>
                <w:rFonts w:ascii="Times New Roman" w:hAnsi="Times New Roman"/>
              </w:rPr>
              <w:t>2.686</w:t>
            </w:r>
          </w:p>
        </w:tc>
        <w:tc>
          <w:tcPr>
            <w:tcW w:w="1119" w:type="dxa"/>
          </w:tcPr>
          <w:p w14:paraId="5603E0C7" w14:textId="532512B3" w:rsidR="00A57188" w:rsidRDefault="00A57188" w:rsidP="005B7835">
            <w:pPr>
              <w:autoSpaceDE w:val="0"/>
              <w:autoSpaceDN w:val="0"/>
              <w:adjustRightInd w:val="0"/>
              <w:spacing w:after="0" w:line="240" w:lineRule="auto"/>
              <w:jc w:val="center"/>
              <w:rPr>
                <w:rFonts w:ascii="Times New Roman" w:hAnsi="Times New Roman"/>
              </w:rPr>
            </w:pPr>
            <w:r>
              <w:rPr>
                <w:rFonts w:ascii="Times New Roman" w:hAnsi="Times New Roman"/>
              </w:rPr>
              <w:t>0</w:t>
            </w:r>
            <w:r w:rsidRPr="00A57188">
              <w:rPr>
                <w:rFonts w:ascii="Times New Roman" w:hAnsi="Times New Roman"/>
              </w:rPr>
              <w:t>.012</w:t>
            </w:r>
          </w:p>
        </w:tc>
      </w:tr>
    </w:tbl>
    <w:p w14:paraId="5AA6C0A6" w14:textId="69AE7475" w:rsidR="009F4E4A" w:rsidRPr="00A57188" w:rsidRDefault="005B7835" w:rsidP="009F4E4A">
      <w:pPr>
        <w:pStyle w:val="ListParagraph"/>
        <w:tabs>
          <w:tab w:val="left" w:pos="709"/>
        </w:tabs>
        <w:spacing w:after="120" w:line="240" w:lineRule="auto"/>
        <w:ind w:left="284"/>
        <w:contextualSpacing w:val="0"/>
        <w:jc w:val="both"/>
        <w:rPr>
          <w:rFonts w:ascii="Times New Roman" w:hAnsi="Times New Roman" w:cs="Cordia New"/>
          <w:bCs/>
          <w:sz w:val="20"/>
          <w:szCs w:val="20"/>
          <w:lang w:bidi="th-TH"/>
        </w:rPr>
      </w:pPr>
      <w:r w:rsidRPr="00A57188">
        <w:rPr>
          <w:rFonts w:ascii="Times New Roman" w:hAnsi="Times New Roman" w:cs="Cordia New"/>
          <w:bCs/>
          <w:sz w:val="24"/>
          <w:szCs w:val="24"/>
          <w:cs/>
          <w:lang w:bidi="th-TH"/>
        </w:rPr>
        <w:tab/>
      </w:r>
      <w:r w:rsidRPr="00A57188">
        <w:rPr>
          <w:rFonts w:ascii="Times New Roman" w:hAnsi="Times New Roman" w:cs="Cordia New"/>
          <w:bCs/>
          <w:sz w:val="24"/>
          <w:szCs w:val="24"/>
          <w:cs/>
          <w:lang w:bidi="th-TH"/>
        </w:rPr>
        <w:tab/>
      </w:r>
      <w:r w:rsidRPr="00A57188">
        <w:rPr>
          <w:rFonts w:ascii="Times New Roman" w:hAnsi="Times New Roman" w:cs="Cordia New" w:hint="cs"/>
          <w:bCs/>
          <w:sz w:val="20"/>
          <w:szCs w:val="20"/>
          <w:cs/>
          <w:lang w:bidi="th-TH"/>
        </w:rPr>
        <w:t xml:space="preserve">                                         </w:t>
      </w:r>
      <w:r w:rsidRPr="00A57188">
        <w:rPr>
          <w:rFonts w:ascii="Times New Roman" w:hAnsi="Times New Roman"/>
          <w:bCs/>
          <w:sz w:val="20"/>
          <w:szCs w:val="20"/>
          <w:cs/>
          <w:lang w:bidi="th-TH"/>
        </w:rPr>
        <w:t>(</w:t>
      </w:r>
      <w:r w:rsidRPr="00A57188">
        <w:rPr>
          <w:rFonts w:ascii="Times New Roman" w:hAnsi="Times New Roman" w:hint="cs"/>
          <w:bCs/>
          <w:sz w:val="20"/>
          <w:szCs w:val="20"/>
          <w:cs/>
          <w:lang w:bidi="th-TH"/>
        </w:rPr>
        <w:t>Source</w:t>
      </w:r>
      <w:r w:rsidRPr="00A57188">
        <w:rPr>
          <w:rFonts w:ascii="Times New Roman" w:hAnsi="Times New Roman"/>
          <w:bCs/>
          <w:sz w:val="20"/>
          <w:szCs w:val="20"/>
          <w:cs/>
          <w:lang w:bidi="th-TH"/>
        </w:rPr>
        <w:t>:</w:t>
      </w:r>
      <w:r w:rsidR="00A57188" w:rsidRPr="00A57188">
        <w:rPr>
          <w:bCs/>
        </w:rPr>
        <w:t xml:space="preserve"> </w:t>
      </w:r>
      <w:r w:rsidR="00A57188" w:rsidRPr="00A57188">
        <w:rPr>
          <w:rFonts w:ascii="Times New Roman" w:hAnsi="Times New Roman"/>
          <w:bCs/>
          <w:sz w:val="20"/>
          <w:szCs w:val="20"/>
        </w:rPr>
        <w:t>data is processed</w:t>
      </w:r>
      <w:r w:rsidR="00A57188" w:rsidRPr="00A57188">
        <w:rPr>
          <w:rFonts w:ascii="Times New Roman" w:hAnsi="Times New Roman"/>
          <w:bCs/>
          <w:sz w:val="20"/>
          <w:szCs w:val="20"/>
        </w:rPr>
        <w:t>, 2026</w:t>
      </w:r>
      <w:r w:rsidRPr="00A57188">
        <w:rPr>
          <w:rFonts w:ascii="Times New Roman" w:hAnsi="Times New Roman"/>
          <w:bCs/>
          <w:sz w:val="20"/>
          <w:szCs w:val="20"/>
        </w:rPr>
        <w:t>)</w:t>
      </w:r>
    </w:p>
    <w:p w14:paraId="31D6D413" w14:textId="7E0721EA" w:rsidR="005B7835" w:rsidRDefault="00A57188" w:rsidP="00A57188">
      <w:pPr>
        <w:pStyle w:val="ListParagraph"/>
        <w:tabs>
          <w:tab w:val="left" w:pos="709"/>
        </w:tabs>
        <w:spacing w:after="120" w:line="240" w:lineRule="auto"/>
        <w:ind w:left="0" w:firstLine="709"/>
        <w:contextualSpacing w:val="0"/>
        <w:jc w:val="both"/>
        <w:rPr>
          <w:rFonts w:ascii="Times New Roman" w:hAnsi="Times New Roman"/>
          <w:bCs/>
          <w:sz w:val="24"/>
          <w:szCs w:val="24"/>
        </w:rPr>
      </w:pPr>
      <w:r w:rsidRPr="00A57188">
        <w:rPr>
          <w:rFonts w:ascii="Times New Roman" w:hAnsi="Times New Roman"/>
          <w:bCs/>
          <w:sz w:val="24"/>
          <w:szCs w:val="24"/>
        </w:rPr>
        <w:t>Based on the results of the t-test (partial) in the Coefficients table, it can be explained that the variable Understanding of Financial Accounting Standards (X₁) has a calculated t-value of 1.425 with a Sig. value of 0.166, which is greater than 0.05. This shows that partially X₁ does not have a significant effect on Accountability for Financial Report Management (Y). Meanwhile, the variable Management Competence (X₂) has a calculated t-value of 2.686 with a Sig. value of 0.012, which is smaller than 0.05. Thus, partially X₂ has a significant effect on Accountability for Financial Report Management</w:t>
      </w:r>
      <w:r w:rsidR="003866A7">
        <w:rPr>
          <w:rFonts w:ascii="Times New Roman" w:hAnsi="Times New Roman"/>
          <w:bCs/>
          <w:sz w:val="24"/>
          <w:szCs w:val="24"/>
        </w:rPr>
        <w:t>.</w:t>
      </w:r>
    </w:p>
    <w:p w14:paraId="05CB1A7A" w14:textId="791CE504" w:rsidR="00782BF9" w:rsidRDefault="00782BF9" w:rsidP="00782BF9">
      <w:pPr>
        <w:spacing w:after="0" w:line="240" w:lineRule="auto"/>
        <w:jc w:val="center"/>
        <w:rPr>
          <w:rFonts w:ascii="Times New Roman" w:hAnsi="Times New Roman"/>
          <w:b/>
          <w:bCs/>
          <w:sz w:val="24"/>
          <w:szCs w:val="24"/>
        </w:rPr>
      </w:pPr>
      <w:r w:rsidRPr="00A57188">
        <w:rPr>
          <w:rFonts w:ascii="Times New Roman" w:hAnsi="Times New Roman"/>
          <w:b/>
          <w:bCs/>
          <w:sz w:val="24"/>
          <w:szCs w:val="24"/>
        </w:rPr>
        <w:t xml:space="preserve">Table </w:t>
      </w:r>
      <w:r>
        <w:rPr>
          <w:rFonts w:ascii="Times New Roman" w:hAnsi="Times New Roman"/>
          <w:b/>
          <w:bCs/>
          <w:sz w:val="24"/>
          <w:szCs w:val="24"/>
        </w:rPr>
        <w:t>2</w:t>
      </w:r>
      <w:r w:rsidRPr="00A57188">
        <w:rPr>
          <w:rFonts w:ascii="Times New Roman" w:hAnsi="Times New Roman"/>
          <w:b/>
          <w:bCs/>
          <w:sz w:val="24"/>
          <w:szCs w:val="24"/>
        </w:rPr>
        <w:t xml:space="preserve">. </w:t>
      </w:r>
      <w:r w:rsidRPr="00782BF9">
        <w:rPr>
          <w:rFonts w:ascii="Times New Roman" w:hAnsi="Times New Roman"/>
          <w:b/>
          <w:bCs/>
          <w:sz w:val="24"/>
          <w:szCs w:val="24"/>
        </w:rPr>
        <w:t>Results of the Determination Coefficient Test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1076"/>
        <w:gridCol w:w="1157"/>
        <w:gridCol w:w="1565"/>
        <w:gridCol w:w="1567"/>
      </w:tblGrid>
      <w:tr w:rsidR="00782BF9" w14:paraId="25673D1A" w14:textId="77777777" w:rsidTr="00782BF9">
        <w:trPr>
          <w:trHeight w:val="318"/>
          <w:jc w:val="center"/>
        </w:trPr>
        <w:tc>
          <w:tcPr>
            <w:tcW w:w="6212" w:type="dxa"/>
            <w:gridSpan w:val="5"/>
          </w:tcPr>
          <w:p w14:paraId="38CCD72A" w14:textId="77777777" w:rsidR="00782BF9" w:rsidRDefault="00782BF9" w:rsidP="00EE5D83">
            <w:pPr>
              <w:pStyle w:val="TableParagraph"/>
              <w:spacing w:before="56" w:line="243" w:lineRule="exact"/>
              <w:ind w:left="13"/>
              <w:rPr>
                <w:b/>
              </w:rPr>
            </w:pPr>
            <w:r>
              <w:rPr>
                <w:b/>
              </w:rPr>
              <w:t>Model</w:t>
            </w:r>
            <w:r>
              <w:rPr>
                <w:b/>
                <w:spacing w:val="1"/>
              </w:rPr>
              <w:t xml:space="preserve"> </w:t>
            </w:r>
            <w:r>
              <w:rPr>
                <w:b/>
                <w:spacing w:val="-2"/>
              </w:rPr>
              <w:t>Summary</w:t>
            </w:r>
            <w:r>
              <w:rPr>
                <w:b/>
                <w:spacing w:val="-2"/>
                <w:vertAlign w:val="superscript"/>
              </w:rPr>
              <w:t>b</w:t>
            </w:r>
          </w:p>
        </w:tc>
      </w:tr>
      <w:tr w:rsidR="00782BF9" w14:paraId="3BCD1CB1" w14:textId="77777777" w:rsidTr="00782BF9">
        <w:trPr>
          <w:trHeight w:val="712"/>
          <w:jc w:val="center"/>
        </w:trPr>
        <w:tc>
          <w:tcPr>
            <w:tcW w:w="847" w:type="dxa"/>
          </w:tcPr>
          <w:p w14:paraId="049FD5EE" w14:textId="77777777" w:rsidR="00782BF9" w:rsidRDefault="00782BF9" w:rsidP="00EE5D83">
            <w:pPr>
              <w:pStyle w:val="TableParagraph"/>
              <w:spacing w:before="215"/>
              <w:jc w:val="left"/>
              <w:rPr>
                <w:b/>
              </w:rPr>
            </w:pPr>
          </w:p>
          <w:p w14:paraId="02DEC9E1" w14:textId="77777777" w:rsidR="00782BF9" w:rsidRDefault="00782BF9" w:rsidP="00EE5D83">
            <w:pPr>
              <w:pStyle w:val="TableParagraph"/>
              <w:spacing w:before="1" w:line="224" w:lineRule="exact"/>
              <w:ind w:left="172"/>
              <w:jc w:val="left"/>
            </w:pPr>
            <w:r>
              <w:rPr>
                <w:spacing w:val="-2"/>
              </w:rPr>
              <w:t>Model</w:t>
            </w:r>
          </w:p>
        </w:tc>
        <w:tc>
          <w:tcPr>
            <w:tcW w:w="1076" w:type="dxa"/>
          </w:tcPr>
          <w:p w14:paraId="37F37BFB" w14:textId="77777777" w:rsidR="00782BF9" w:rsidRDefault="00782BF9" w:rsidP="00EE5D83">
            <w:pPr>
              <w:pStyle w:val="TableParagraph"/>
              <w:spacing w:before="215"/>
              <w:jc w:val="left"/>
              <w:rPr>
                <w:b/>
              </w:rPr>
            </w:pPr>
          </w:p>
          <w:p w14:paraId="12E80B5B" w14:textId="77777777" w:rsidR="00782BF9" w:rsidRDefault="00782BF9" w:rsidP="00EE5D83">
            <w:pPr>
              <w:pStyle w:val="TableParagraph"/>
              <w:spacing w:before="1" w:line="224" w:lineRule="exact"/>
              <w:ind w:left="23"/>
            </w:pPr>
            <w:r>
              <w:rPr>
                <w:spacing w:val="-10"/>
              </w:rPr>
              <w:t>R</w:t>
            </w:r>
          </w:p>
        </w:tc>
        <w:tc>
          <w:tcPr>
            <w:tcW w:w="1157" w:type="dxa"/>
          </w:tcPr>
          <w:p w14:paraId="6B084AE4" w14:textId="77777777" w:rsidR="00782BF9" w:rsidRDefault="00782BF9" w:rsidP="00EE5D83">
            <w:pPr>
              <w:pStyle w:val="TableParagraph"/>
              <w:spacing w:before="215"/>
              <w:jc w:val="left"/>
              <w:rPr>
                <w:b/>
              </w:rPr>
            </w:pPr>
          </w:p>
          <w:p w14:paraId="382E0CCE" w14:textId="77777777" w:rsidR="00782BF9" w:rsidRDefault="00782BF9" w:rsidP="00EE5D83">
            <w:pPr>
              <w:pStyle w:val="TableParagraph"/>
              <w:spacing w:before="1" w:line="224" w:lineRule="exact"/>
              <w:ind w:right="68"/>
              <w:jc w:val="right"/>
            </w:pPr>
            <w:r>
              <w:t>R</w:t>
            </w:r>
            <w:r>
              <w:rPr>
                <w:spacing w:val="-4"/>
              </w:rPr>
              <w:t xml:space="preserve"> </w:t>
            </w:r>
            <w:r>
              <w:rPr>
                <w:spacing w:val="-2"/>
              </w:rPr>
              <w:t>Square</w:t>
            </w:r>
          </w:p>
        </w:tc>
        <w:tc>
          <w:tcPr>
            <w:tcW w:w="1565" w:type="dxa"/>
          </w:tcPr>
          <w:p w14:paraId="59AE1DF7" w14:textId="77777777" w:rsidR="00782BF9" w:rsidRDefault="00782BF9" w:rsidP="00EE5D83">
            <w:pPr>
              <w:pStyle w:val="TableParagraph"/>
              <w:spacing w:before="51"/>
              <w:ind w:left="83" w:right="197"/>
            </w:pPr>
            <w:r>
              <w:rPr>
                <w:spacing w:val="-2"/>
              </w:rPr>
              <w:t>Adjusted</w:t>
            </w:r>
            <w:r>
              <w:rPr>
                <w:spacing w:val="-3"/>
              </w:rPr>
              <w:t xml:space="preserve"> </w:t>
            </w:r>
            <w:r>
              <w:rPr>
                <w:spacing w:val="-10"/>
              </w:rPr>
              <w:t>R</w:t>
            </w:r>
          </w:p>
          <w:p w14:paraId="07C0727D" w14:textId="77777777" w:rsidR="00782BF9" w:rsidRDefault="00782BF9" w:rsidP="00EE5D83">
            <w:pPr>
              <w:pStyle w:val="TableParagraph"/>
              <w:spacing w:before="69"/>
              <w:ind w:right="197"/>
            </w:pPr>
            <w:r>
              <w:rPr>
                <w:spacing w:val="-2"/>
              </w:rPr>
              <w:t>Square</w:t>
            </w:r>
          </w:p>
        </w:tc>
        <w:tc>
          <w:tcPr>
            <w:tcW w:w="1567" w:type="dxa"/>
          </w:tcPr>
          <w:p w14:paraId="7CF4CC25" w14:textId="77777777" w:rsidR="00782BF9" w:rsidRDefault="00782BF9" w:rsidP="00EE5D83">
            <w:pPr>
              <w:pStyle w:val="TableParagraph"/>
              <w:spacing w:before="51"/>
              <w:ind w:left="135"/>
            </w:pPr>
            <w:r>
              <w:rPr>
                <w:spacing w:val="-2"/>
              </w:rPr>
              <w:t>Std.</w:t>
            </w:r>
            <w:r>
              <w:rPr>
                <w:spacing w:val="-8"/>
              </w:rPr>
              <w:t xml:space="preserve"> </w:t>
            </w:r>
            <w:r>
              <w:rPr>
                <w:spacing w:val="-2"/>
              </w:rPr>
              <w:t>Error</w:t>
            </w:r>
            <w:r>
              <w:rPr>
                <w:spacing w:val="-7"/>
              </w:rPr>
              <w:t xml:space="preserve"> </w:t>
            </w:r>
            <w:r>
              <w:rPr>
                <w:spacing w:val="-2"/>
              </w:rPr>
              <w:t>of</w:t>
            </w:r>
            <w:r>
              <w:rPr>
                <w:spacing w:val="-6"/>
              </w:rPr>
              <w:t xml:space="preserve"> </w:t>
            </w:r>
            <w:r>
              <w:rPr>
                <w:spacing w:val="-5"/>
              </w:rPr>
              <w:t>the</w:t>
            </w:r>
          </w:p>
          <w:p w14:paraId="5648A41F" w14:textId="77777777" w:rsidR="00782BF9" w:rsidRDefault="00782BF9" w:rsidP="00EE5D83">
            <w:pPr>
              <w:pStyle w:val="TableParagraph"/>
              <w:spacing w:before="69"/>
              <w:ind w:left="75"/>
            </w:pPr>
            <w:r>
              <w:rPr>
                <w:spacing w:val="-2"/>
              </w:rPr>
              <w:t>Estimate</w:t>
            </w:r>
          </w:p>
        </w:tc>
      </w:tr>
      <w:tr w:rsidR="00782BF9" w14:paraId="5141198E" w14:textId="77777777" w:rsidTr="00782BF9">
        <w:trPr>
          <w:trHeight w:val="316"/>
          <w:jc w:val="center"/>
        </w:trPr>
        <w:tc>
          <w:tcPr>
            <w:tcW w:w="847" w:type="dxa"/>
          </w:tcPr>
          <w:p w14:paraId="46D28D90" w14:textId="77777777" w:rsidR="00782BF9" w:rsidRDefault="00782BF9" w:rsidP="00EE5D83">
            <w:pPr>
              <w:pStyle w:val="TableParagraph"/>
              <w:spacing w:before="51" w:line="245" w:lineRule="exact"/>
              <w:ind w:left="69"/>
              <w:jc w:val="left"/>
            </w:pPr>
            <w:r>
              <w:rPr>
                <w:spacing w:val="-10"/>
              </w:rPr>
              <w:t>1</w:t>
            </w:r>
          </w:p>
        </w:tc>
        <w:tc>
          <w:tcPr>
            <w:tcW w:w="1076" w:type="dxa"/>
          </w:tcPr>
          <w:p w14:paraId="168DB04C" w14:textId="77777777" w:rsidR="00782BF9" w:rsidRDefault="00782BF9" w:rsidP="00EE5D83">
            <w:pPr>
              <w:pStyle w:val="TableParagraph"/>
              <w:spacing w:before="51" w:line="245" w:lineRule="exact"/>
              <w:ind w:left="595"/>
              <w:jc w:val="left"/>
            </w:pPr>
            <w:r>
              <w:rPr>
                <w:spacing w:val="-2"/>
              </w:rPr>
              <w:t>.779</w:t>
            </w:r>
            <w:r>
              <w:rPr>
                <w:spacing w:val="-2"/>
                <w:vertAlign w:val="superscript"/>
              </w:rPr>
              <w:t>a</w:t>
            </w:r>
          </w:p>
        </w:tc>
        <w:tc>
          <w:tcPr>
            <w:tcW w:w="1157" w:type="dxa"/>
          </w:tcPr>
          <w:p w14:paraId="54B10510" w14:textId="77777777" w:rsidR="00782BF9" w:rsidRDefault="00782BF9" w:rsidP="00EE5D83">
            <w:pPr>
              <w:pStyle w:val="TableParagraph"/>
              <w:spacing w:before="51" w:line="245" w:lineRule="exact"/>
              <w:ind w:right="36"/>
              <w:jc w:val="right"/>
            </w:pPr>
            <w:r>
              <w:rPr>
                <w:spacing w:val="-4"/>
              </w:rPr>
              <w:t>.607</w:t>
            </w:r>
          </w:p>
        </w:tc>
        <w:tc>
          <w:tcPr>
            <w:tcW w:w="1565" w:type="dxa"/>
          </w:tcPr>
          <w:p w14:paraId="261C0C28" w14:textId="77777777" w:rsidR="00782BF9" w:rsidRDefault="00782BF9" w:rsidP="00EE5D83">
            <w:pPr>
              <w:pStyle w:val="TableParagraph"/>
              <w:spacing w:before="51" w:line="245" w:lineRule="exact"/>
              <w:ind w:right="50"/>
              <w:jc w:val="right"/>
            </w:pPr>
            <w:r>
              <w:rPr>
                <w:spacing w:val="-4"/>
              </w:rPr>
              <w:t>.578</w:t>
            </w:r>
          </w:p>
        </w:tc>
        <w:tc>
          <w:tcPr>
            <w:tcW w:w="1567" w:type="dxa"/>
          </w:tcPr>
          <w:p w14:paraId="1D0B301A" w14:textId="77777777" w:rsidR="00782BF9" w:rsidRDefault="00782BF9" w:rsidP="00EE5D83">
            <w:pPr>
              <w:pStyle w:val="TableParagraph"/>
              <w:spacing w:before="51" w:line="245" w:lineRule="exact"/>
              <w:ind w:left="854"/>
              <w:jc w:val="left"/>
            </w:pPr>
            <w:r>
              <w:rPr>
                <w:spacing w:val="-5"/>
              </w:rPr>
              <w:t>3.22604</w:t>
            </w:r>
          </w:p>
        </w:tc>
      </w:tr>
      <w:tr w:rsidR="00782BF9" w14:paraId="0A9E9DE7" w14:textId="77777777" w:rsidTr="00782BF9">
        <w:trPr>
          <w:trHeight w:val="319"/>
          <w:jc w:val="center"/>
        </w:trPr>
        <w:tc>
          <w:tcPr>
            <w:tcW w:w="6212" w:type="dxa"/>
            <w:gridSpan w:val="5"/>
          </w:tcPr>
          <w:p w14:paraId="497E3AB2" w14:textId="77777777" w:rsidR="00782BF9" w:rsidRDefault="00782BF9" w:rsidP="00EE5D83">
            <w:pPr>
              <w:pStyle w:val="TableParagraph"/>
              <w:spacing w:before="56" w:line="243" w:lineRule="exact"/>
              <w:ind w:left="69"/>
              <w:jc w:val="left"/>
            </w:pPr>
            <w:r>
              <w:t>a.</w:t>
            </w:r>
            <w:r>
              <w:rPr>
                <w:spacing w:val="-12"/>
              </w:rPr>
              <w:t xml:space="preserve"> </w:t>
            </w:r>
            <w:r>
              <w:t>Predictors:</w:t>
            </w:r>
            <w:r>
              <w:rPr>
                <w:spacing w:val="-10"/>
              </w:rPr>
              <w:t xml:space="preserve"> </w:t>
            </w:r>
            <w:r>
              <w:t>(Constant),</w:t>
            </w:r>
            <w:r>
              <w:rPr>
                <w:spacing w:val="-14"/>
              </w:rPr>
              <w:t xml:space="preserve"> </w:t>
            </w:r>
            <w:r>
              <w:t>totalx2,</w:t>
            </w:r>
            <w:r>
              <w:rPr>
                <w:spacing w:val="-11"/>
              </w:rPr>
              <w:t xml:space="preserve"> </w:t>
            </w:r>
            <w:r>
              <w:rPr>
                <w:spacing w:val="-2"/>
              </w:rPr>
              <w:t>totalx1</w:t>
            </w:r>
          </w:p>
        </w:tc>
      </w:tr>
      <w:tr w:rsidR="00782BF9" w14:paraId="13FE4F4A" w14:textId="77777777" w:rsidTr="00782BF9">
        <w:trPr>
          <w:trHeight w:val="321"/>
          <w:jc w:val="center"/>
        </w:trPr>
        <w:tc>
          <w:tcPr>
            <w:tcW w:w="6212" w:type="dxa"/>
            <w:gridSpan w:val="5"/>
          </w:tcPr>
          <w:p w14:paraId="021C553A" w14:textId="77777777" w:rsidR="00782BF9" w:rsidRDefault="00782BF9" w:rsidP="00EE5D83">
            <w:pPr>
              <w:pStyle w:val="TableParagraph"/>
              <w:spacing w:before="56" w:line="245" w:lineRule="exact"/>
              <w:ind w:left="69"/>
              <w:jc w:val="left"/>
            </w:pPr>
            <w:r>
              <w:t>b.</w:t>
            </w:r>
            <w:r>
              <w:rPr>
                <w:spacing w:val="-9"/>
              </w:rPr>
              <w:t xml:space="preserve"> </w:t>
            </w:r>
            <w:r>
              <w:t>Dependent</w:t>
            </w:r>
            <w:r>
              <w:rPr>
                <w:spacing w:val="-7"/>
              </w:rPr>
              <w:t xml:space="preserve"> </w:t>
            </w:r>
            <w:r>
              <w:t>Variable:</w:t>
            </w:r>
            <w:r>
              <w:rPr>
                <w:spacing w:val="-3"/>
              </w:rPr>
              <w:t xml:space="preserve"> </w:t>
            </w:r>
            <w:r>
              <w:rPr>
                <w:spacing w:val="-2"/>
              </w:rPr>
              <w:t>totally</w:t>
            </w:r>
          </w:p>
        </w:tc>
      </w:tr>
    </w:tbl>
    <w:p w14:paraId="7A8B2137" w14:textId="77777777" w:rsidR="00782BF9" w:rsidRPr="00A57188" w:rsidRDefault="00782BF9" w:rsidP="00782BF9">
      <w:pPr>
        <w:pStyle w:val="ListParagraph"/>
        <w:tabs>
          <w:tab w:val="left" w:pos="709"/>
        </w:tabs>
        <w:spacing w:after="120" w:line="240" w:lineRule="auto"/>
        <w:ind w:left="284"/>
        <w:contextualSpacing w:val="0"/>
        <w:jc w:val="both"/>
        <w:rPr>
          <w:rFonts w:ascii="Times New Roman" w:hAnsi="Times New Roman" w:cs="Cordia New"/>
          <w:bCs/>
          <w:sz w:val="20"/>
          <w:szCs w:val="20"/>
          <w:lang w:bidi="th-TH"/>
        </w:rPr>
      </w:pPr>
      <w:r w:rsidRPr="00A57188">
        <w:rPr>
          <w:rFonts w:ascii="Times New Roman" w:hAnsi="Times New Roman" w:cs="Cordia New"/>
          <w:bCs/>
          <w:sz w:val="24"/>
          <w:szCs w:val="24"/>
          <w:cs/>
          <w:lang w:bidi="th-TH"/>
        </w:rPr>
        <w:tab/>
      </w:r>
      <w:r w:rsidRPr="00A57188">
        <w:rPr>
          <w:rFonts w:ascii="Times New Roman" w:hAnsi="Times New Roman" w:cs="Cordia New"/>
          <w:bCs/>
          <w:sz w:val="24"/>
          <w:szCs w:val="24"/>
          <w:cs/>
          <w:lang w:bidi="th-TH"/>
        </w:rPr>
        <w:tab/>
      </w:r>
      <w:r w:rsidRPr="00A57188">
        <w:rPr>
          <w:rFonts w:ascii="Times New Roman" w:hAnsi="Times New Roman" w:cs="Cordia New" w:hint="cs"/>
          <w:bCs/>
          <w:sz w:val="20"/>
          <w:szCs w:val="20"/>
          <w:cs/>
          <w:lang w:bidi="th-TH"/>
        </w:rPr>
        <w:t xml:space="preserve">                                         </w:t>
      </w:r>
      <w:r w:rsidRPr="00A57188">
        <w:rPr>
          <w:rFonts w:ascii="Times New Roman" w:hAnsi="Times New Roman"/>
          <w:bCs/>
          <w:sz w:val="20"/>
          <w:szCs w:val="20"/>
          <w:cs/>
          <w:lang w:bidi="th-TH"/>
        </w:rPr>
        <w:t>(</w:t>
      </w:r>
      <w:r w:rsidRPr="00A57188">
        <w:rPr>
          <w:rFonts w:ascii="Times New Roman" w:hAnsi="Times New Roman" w:hint="cs"/>
          <w:bCs/>
          <w:sz w:val="20"/>
          <w:szCs w:val="20"/>
          <w:cs/>
          <w:lang w:bidi="th-TH"/>
        </w:rPr>
        <w:t>Source</w:t>
      </w:r>
      <w:r w:rsidRPr="00A57188">
        <w:rPr>
          <w:rFonts w:ascii="Times New Roman" w:hAnsi="Times New Roman"/>
          <w:bCs/>
          <w:sz w:val="20"/>
          <w:szCs w:val="20"/>
          <w:cs/>
          <w:lang w:bidi="th-TH"/>
        </w:rPr>
        <w:t>:</w:t>
      </w:r>
      <w:r w:rsidRPr="00A57188">
        <w:rPr>
          <w:bCs/>
        </w:rPr>
        <w:t xml:space="preserve"> </w:t>
      </w:r>
      <w:r w:rsidRPr="00A57188">
        <w:rPr>
          <w:rFonts w:ascii="Times New Roman" w:hAnsi="Times New Roman"/>
          <w:bCs/>
          <w:sz w:val="20"/>
          <w:szCs w:val="20"/>
        </w:rPr>
        <w:t>data is processed, 2026)</w:t>
      </w:r>
    </w:p>
    <w:p w14:paraId="729CCFA8" w14:textId="4CDCB8CB" w:rsidR="003866A7" w:rsidRDefault="00782BF9" w:rsidP="003866A7">
      <w:pPr>
        <w:tabs>
          <w:tab w:val="left" w:pos="709"/>
        </w:tabs>
        <w:spacing w:after="120" w:line="240" w:lineRule="auto"/>
        <w:jc w:val="both"/>
        <w:rPr>
          <w:rFonts w:ascii="Times New Roman" w:hAnsi="Times New Roman"/>
          <w:bCs/>
          <w:sz w:val="24"/>
          <w:szCs w:val="24"/>
        </w:rPr>
      </w:pPr>
      <w:r>
        <w:rPr>
          <w:rFonts w:ascii="Times New Roman" w:hAnsi="Times New Roman"/>
          <w:bCs/>
          <w:sz w:val="24"/>
          <w:szCs w:val="24"/>
        </w:rPr>
        <w:tab/>
      </w:r>
      <w:r w:rsidRPr="00782BF9">
        <w:rPr>
          <w:rFonts w:ascii="Times New Roman" w:hAnsi="Times New Roman"/>
          <w:bCs/>
          <w:sz w:val="24"/>
          <w:szCs w:val="24"/>
        </w:rPr>
        <w:t>Based on Table 2, the R value obtained is 0.779, which indicates that the relationship between the variables Understanding of Financial Accounting Standards (X₁) and Management Competence (X₂) with Accountability for Financial Report Management (Y) is relatively strong. The R Square value of 0.607 means that 60.7% of the variation in the dependent variable can be explained by the two independent variables in the regression model. Meanwhile, the Adjusted R Square value of 0.578 indicates that after adjusting for the number of independent variables, the model's ability to explain the variation in the dependent variable is 57.8%, while the remaining 42.2% is influenced by other factors outside the research model. Thus, the regression model used has quite good explanatory power.</w:t>
      </w:r>
    </w:p>
    <w:p w14:paraId="12B9CECF" w14:textId="77777777" w:rsidR="00723754" w:rsidRDefault="00723754">
      <w:pPr>
        <w:spacing w:after="0" w:line="240" w:lineRule="auto"/>
        <w:rPr>
          <w:rFonts w:ascii="Times New Roman" w:hAnsi="Times New Roman"/>
          <w:b/>
          <w:sz w:val="24"/>
          <w:szCs w:val="24"/>
        </w:rPr>
      </w:pPr>
      <w:r>
        <w:rPr>
          <w:rFonts w:ascii="Times New Roman" w:hAnsi="Times New Roman"/>
          <w:b/>
          <w:sz w:val="24"/>
          <w:szCs w:val="24"/>
        </w:rPr>
        <w:br w:type="page"/>
      </w:r>
    </w:p>
    <w:p w14:paraId="5CE93CEB" w14:textId="58E98C57" w:rsidR="00723754" w:rsidRPr="00723754" w:rsidRDefault="00723754" w:rsidP="003866A7">
      <w:pPr>
        <w:tabs>
          <w:tab w:val="left" w:pos="709"/>
        </w:tabs>
        <w:spacing w:after="120" w:line="240" w:lineRule="auto"/>
        <w:jc w:val="both"/>
        <w:rPr>
          <w:rFonts w:ascii="Times New Roman" w:hAnsi="Times New Roman"/>
          <w:b/>
          <w:sz w:val="24"/>
          <w:szCs w:val="24"/>
        </w:rPr>
      </w:pPr>
      <w:r w:rsidRPr="00723754">
        <w:rPr>
          <w:rFonts w:ascii="Times New Roman" w:hAnsi="Times New Roman"/>
          <w:b/>
          <w:sz w:val="24"/>
          <w:szCs w:val="24"/>
        </w:rPr>
        <w:lastRenderedPageBreak/>
        <w:t>Discussion</w:t>
      </w:r>
    </w:p>
    <w:p w14:paraId="45C12B4E" w14:textId="3E40D99F" w:rsidR="00723754" w:rsidRPr="00723754" w:rsidRDefault="00723754" w:rsidP="00723754">
      <w:pPr>
        <w:tabs>
          <w:tab w:val="left" w:pos="709"/>
        </w:tabs>
        <w:spacing w:after="120" w:line="240" w:lineRule="auto"/>
        <w:jc w:val="both"/>
        <w:rPr>
          <w:rFonts w:ascii="Times New Roman" w:hAnsi="Times New Roman"/>
          <w:bCs/>
          <w:sz w:val="24"/>
          <w:szCs w:val="24"/>
          <w:lang w:val="en-ID"/>
        </w:rPr>
      </w:pPr>
      <w:r>
        <w:rPr>
          <w:rFonts w:ascii="Times New Roman" w:hAnsi="Times New Roman"/>
          <w:bCs/>
          <w:sz w:val="24"/>
          <w:szCs w:val="24"/>
          <w:lang w:val="en-ID"/>
        </w:rPr>
        <w:tab/>
      </w:r>
      <w:r w:rsidRPr="00723754">
        <w:rPr>
          <w:rFonts w:ascii="Times New Roman" w:hAnsi="Times New Roman"/>
          <w:bCs/>
          <w:sz w:val="24"/>
          <w:szCs w:val="24"/>
          <w:lang w:val="en-ID"/>
        </w:rPr>
        <w:t>The finding that understanding accounting standards does not significantly affect financial accountability may indicate a gap between theoretical knowledge and practical implementation. In many cases, cooperative managers may have basic knowledge of accounting standards but lack the ability to apply them effectively in real-world financial reporting.</w:t>
      </w:r>
    </w:p>
    <w:p w14:paraId="1EA723C8" w14:textId="7D3F8F92" w:rsidR="00723754" w:rsidRPr="00723754" w:rsidRDefault="00723754" w:rsidP="00723754">
      <w:pPr>
        <w:tabs>
          <w:tab w:val="left" w:pos="709"/>
        </w:tabs>
        <w:spacing w:after="120" w:line="240" w:lineRule="auto"/>
        <w:jc w:val="both"/>
        <w:rPr>
          <w:rFonts w:ascii="Times New Roman" w:hAnsi="Times New Roman"/>
          <w:bCs/>
          <w:sz w:val="24"/>
          <w:szCs w:val="24"/>
          <w:lang w:val="en-ID"/>
        </w:rPr>
      </w:pPr>
      <w:r>
        <w:rPr>
          <w:rFonts w:ascii="Times New Roman" w:hAnsi="Times New Roman"/>
          <w:bCs/>
          <w:sz w:val="24"/>
          <w:szCs w:val="24"/>
          <w:lang w:val="en-ID"/>
        </w:rPr>
        <w:tab/>
      </w:r>
      <w:r w:rsidRPr="00723754">
        <w:rPr>
          <w:rFonts w:ascii="Times New Roman" w:hAnsi="Times New Roman"/>
          <w:bCs/>
          <w:sz w:val="24"/>
          <w:szCs w:val="24"/>
          <w:lang w:val="en-ID"/>
        </w:rPr>
        <w:t>On the other hand, management competence demonstrates a strong influence on financial accountability. This aligns with the theory that competent human resources are essential for effective financial management. Competence includes not only knowledge but also technical skills, experience, and decision-making ability, which directly impact the quality of financial reporting.</w:t>
      </w:r>
    </w:p>
    <w:p w14:paraId="0D147E56" w14:textId="0A73D2F9" w:rsidR="00723754" w:rsidRPr="00723754" w:rsidRDefault="00723754" w:rsidP="00723754">
      <w:pPr>
        <w:tabs>
          <w:tab w:val="left" w:pos="709"/>
        </w:tabs>
        <w:spacing w:after="120" w:line="240" w:lineRule="auto"/>
        <w:jc w:val="both"/>
        <w:rPr>
          <w:rFonts w:ascii="Times New Roman" w:hAnsi="Times New Roman"/>
          <w:bCs/>
          <w:sz w:val="24"/>
          <w:szCs w:val="24"/>
          <w:lang w:val="en-ID"/>
        </w:rPr>
      </w:pPr>
      <w:r>
        <w:rPr>
          <w:rFonts w:ascii="Times New Roman" w:hAnsi="Times New Roman"/>
          <w:bCs/>
          <w:sz w:val="24"/>
          <w:szCs w:val="24"/>
          <w:lang w:val="en-ID"/>
        </w:rPr>
        <w:tab/>
      </w:r>
      <w:r w:rsidRPr="00723754">
        <w:rPr>
          <w:rFonts w:ascii="Times New Roman" w:hAnsi="Times New Roman"/>
          <w:bCs/>
          <w:sz w:val="24"/>
          <w:szCs w:val="24"/>
          <w:lang w:val="en-ID"/>
        </w:rPr>
        <w:t>The simultaneous significance of both variables suggests that financial accountability is best achieved when accounting knowledge is supported by strong managerial competence. Without adequate competence, understanding standards alone becomes ineffective. Conversely, competence without proper accounting knowledge may lead to inconsistencies with established reporting standards.</w:t>
      </w:r>
    </w:p>
    <w:p w14:paraId="663F5213" w14:textId="591037BB" w:rsidR="00723754" w:rsidRPr="00723754" w:rsidRDefault="00723754" w:rsidP="00723754">
      <w:pPr>
        <w:tabs>
          <w:tab w:val="left" w:pos="709"/>
        </w:tabs>
        <w:spacing w:after="120" w:line="240" w:lineRule="auto"/>
        <w:jc w:val="both"/>
        <w:rPr>
          <w:rFonts w:ascii="Times New Roman" w:hAnsi="Times New Roman"/>
          <w:bCs/>
          <w:sz w:val="24"/>
          <w:szCs w:val="24"/>
          <w:lang w:val="en-ID"/>
        </w:rPr>
      </w:pPr>
      <w:r>
        <w:rPr>
          <w:rFonts w:ascii="Times New Roman" w:hAnsi="Times New Roman"/>
          <w:bCs/>
          <w:sz w:val="24"/>
          <w:szCs w:val="24"/>
          <w:lang w:val="en-ID"/>
        </w:rPr>
        <w:tab/>
      </w:r>
      <w:r w:rsidRPr="00723754">
        <w:rPr>
          <w:rFonts w:ascii="Times New Roman" w:hAnsi="Times New Roman"/>
          <w:bCs/>
          <w:sz w:val="24"/>
          <w:szCs w:val="24"/>
          <w:lang w:val="en-ID"/>
        </w:rPr>
        <w:t xml:space="preserve">These findings reinforce the importance of capacity building for cooperative management in </w:t>
      </w:r>
      <w:r w:rsidRPr="00D437E5">
        <w:rPr>
          <w:rFonts w:ascii="Times New Roman" w:hAnsi="Times New Roman"/>
          <w:sz w:val="24"/>
          <w:szCs w:val="24"/>
        </w:rPr>
        <w:t>Islamic boarding school</w:t>
      </w:r>
      <w:r w:rsidRPr="00723754">
        <w:rPr>
          <w:rFonts w:ascii="Times New Roman" w:hAnsi="Times New Roman"/>
          <w:bCs/>
          <w:sz w:val="24"/>
          <w:szCs w:val="24"/>
          <w:lang w:val="en-ID"/>
        </w:rPr>
        <w:t>. Training programs focusing on both accounting standards and practical financial management skills are essential to improve accountability</w:t>
      </w:r>
      <w:r>
        <w:rPr>
          <w:rFonts w:ascii="Times New Roman" w:hAnsi="Times New Roman"/>
          <w:bCs/>
          <w:sz w:val="24"/>
          <w:szCs w:val="24"/>
          <w:lang w:val="en-ID"/>
        </w:rPr>
        <w:t>.</w:t>
      </w:r>
    </w:p>
    <w:p w14:paraId="038F1D7E" w14:textId="77777777" w:rsidR="00723754" w:rsidRDefault="00723754" w:rsidP="003866A7">
      <w:pPr>
        <w:tabs>
          <w:tab w:val="left" w:pos="709"/>
        </w:tabs>
        <w:spacing w:after="120" w:line="240" w:lineRule="auto"/>
        <w:jc w:val="both"/>
        <w:rPr>
          <w:rFonts w:ascii="Times New Roman" w:hAnsi="Times New Roman"/>
          <w:bCs/>
          <w:sz w:val="24"/>
          <w:szCs w:val="24"/>
        </w:rPr>
      </w:pPr>
    </w:p>
    <w:p w14:paraId="4A3974E6" w14:textId="1992BA1E" w:rsidR="00466522" w:rsidRDefault="00251D24" w:rsidP="009F4E4A">
      <w:pPr>
        <w:pStyle w:val="ListParagraph"/>
        <w:tabs>
          <w:tab w:val="left" w:pos="709"/>
        </w:tabs>
        <w:spacing w:after="120" w:line="240" w:lineRule="auto"/>
        <w:ind w:left="284" w:hanging="284"/>
        <w:contextualSpacing w:val="0"/>
        <w:jc w:val="both"/>
        <w:rPr>
          <w:rFonts w:ascii="Times New Roman" w:hAnsi="Times New Roman"/>
          <w:b/>
          <w:sz w:val="24"/>
          <w:szCs w:val="24"/>
        </w:rPr>
      </w:pPr>
      <w:r>
        <w:rPr>
          <w:rFonts w:ascii="Times New Roman" w:hAnsi="Times New Roman"/>
          <w:b/>
          <w:sz w:val="24"/>
          <w:szCs w:val="24"/>
        </w:rPr>
        <w:t>CONCLUSION</w:t>
      </w:r>
    </w:p>
    <w:p w14:paraId="048DD87A" w14:textId="77777777" w:rsidR="00D5687E" w:rsidRDefault="00466522" w:rsidP="00D5687E">
      <w:pPr>
        <w:pStyle w:val="ListParagraph"/>
        <w:tabs>
          <w:tab w:val="left" w:pos="0"/>
        </w:tabs>
        <w:spacing w:after="120" w:line="240" w:lineRule="auto"/>
        <w:ind w:left="0"/>
        <w:jc w:val="both"/>
        <w:rPr>
          <w:rFonts w:ascii="Times New Roman" w:hAnsi="Times New Roman"/>
          <w:sz w:val="24"/>
          <w:szCs w:val="24"/>
        </w:rPr>
      </w:pPr>
      <w:r>
        <w:rPr>
          <w:rFonts w:ascii="Times New Roman" w:hAnsi="Times New Roman"/>
          <w:sz w:val="24"/>
          <w:szCs w:val="24"/>
        </w:rPr>
        <w:tab/>
      </w:r>
      <w:r w:rsidR="00D5687E" w:rsidRPr="00D5687E">
        <w:rPr>
          <w:rFonts w:ascii="Times New Roman" w:hAnsi="Times New Roman"/>
          <w:sz w:val="24"/>
          <w:szCs w:val="24"/>
        </w:rPr>
        <w:t>This study aimed to examine the effect of understanding Financial Accounting Standards and management competence on the financial accountability of cooperative management in modern Islamic boarding schools in Aceh Besar.</w:t>
      </w:r>
      <w:r w:rsidR="00D5687E">
        <w:rPr>
          <w:rFonts w:ascii="Times New Roman" w:hAnsi="Times New Roman"/>
          <w:sz w:val="24"/>
          <w:szCs w:val="24"/>
        </w:rPr>
        <w:t xml:space="preserve"> </w:t>
      </w:r>
      <w:r w:rsidR="00D5687E" w:rsidRPr="00D5687E">
        <w:rPr>
          <w:rFonts w:ascii="Times New Roman" w:hAnsi="Times New Roman"/>
          <w:sz w:val="24"/>
          <w:szCs w:val="24"/>
        </w:rPr>
        <w:t>The findings indicate that, partially, the understanding of Financial Accounting Standards does not have a significant effect on financial accountability. In contrast, management competence has a positive and significant influence on financial accountability, highlighting the critical role of managerial capability in ensuring transparent and accountable financial reporting. Furthermore, the simultaneous analysis shows that both variables jointly have a significant effect on financial accountability, demonstrating that their combined presence contributes to better financial governance.</w:t>
      </w:r>
    </w:p>
    <w:p w14:paraId="1946782B" w14:textId="0007077F" w:rsidR="00815C40" w:rsidRPr="00466522" w:rsidRDefault="00D5687E" w:rsidP="00D5687E">
      <w:pPr>
        <w:pStyle w:val="ListParagraph"/>
        <w:tabs>
          <w:tab w:val="left" w:pos="0"/>
        </w:tabs>
        <w:spacing w:after="120" w:line="240" w:lineRule="auto"/>
        <w:ind w:left="0"/>
        <w:jc w:val="both"/>
        <w:rPr>
          <w:rFonts w:ascii="Times New Roman" w:hAnsi="Times New Roman"/>
          <w:b/>
          <w:sz w:val="24"/>
          <w:szCs w:val="24"/>
        </w:rPr>
      </w:pPr>
      <w:r>
        <w:rPr>
          <w:rFonts w:ascii="Times New Roman" w:hAnsi="Times New Roman"/>
          <w:sz w:val="24"/>
          <w:szCs w:val="24"/>
        </w:rPr>
        <w:tab/>
      </w:r>
      <w:r w:rsidRPr="00D5687E">
        <w:rPr>
          <w:rFonts w:ascii="Times New Roman" w:hAnsi="Times New Roman"/>
          <w:sz w:val="24"/>
          <w:szCs w:val="24"/>
        </w:rPr>
        <w:t xml:space="preserve">These results emphasize that improving financial accountability in </w:t>
      </w:r>
      <w:proofErr w:type="spellStart"/>
      <w:r w:rsidRPr="00D5687E">
        <w:rPr>
          <w:rFonts w:ascii="Times New Roman" w:hAnsi="Times New Roman"/>
          <w:sz w:val="24"/>
          <w:szCs w:val="24"/>
        </w:rPr>
        <w:t>pesantren</w:t>
      </w:r>
      <w:proofErr w:type="spellEnd"/>
      <w:r w:rsidRPr="00D5687E">
        <w:rPr>
          <w:rFonts w:ascii="Times New Roman" w:hAnsi="Times New Roman"/>
          <w:sz w:val="24"/>
          <w:szCs w:val="24"/>
        </w:rPr>
        <w:t xml:space="preserve"> cooperatives cannot rely solely on theoretical understanding of accounting standards, but must be supported by strong managerial competence. Therefore, practical efforts such as training, capacity building, and continuous development of managerial skills are essential to enhance the quality of financial management.</w:t>
      </w:r>
      <w:r>
        <w:rPr>
          <w:rFonts w:ascii="Times New Roman" w:hAnsi="Times New Roman"/>
          <w:sz w:val="24"/>
          <w:szCs w:val="24"/>
        </w:rPr>
        <w:t xml:space="preserve"> </w:t>
      </w:r>
      <w:r w:rsidRPr="00D5687E">
        <w:rPr>
          <w:rFonts w:ascii="Times New Roman" w:hAnsi="Times New Roman"/>
          <w:sz w:val="24"/>
          <w:szCs w:val="24"/>
        </w:rPr>
        <w:t>For future research, it is recommended to explore additional variables that may influence financial accountability, such as internal control systems, organizational culture, or the use of accounting information systems. Expanding the research scope to different regions or larger samples may also provide more comprehensive insights and strengthen the generalizability of the findings.</w:t>
      </w:r>
    </w:p>
    <w:p w14:paraId="3F7CD094" w14:textId="77777777" w:rsidR="00466522" w:rsidRPr="0054702E" w:rsidRDefault="00466522" w:rsidP="008C7768">
      <w:pPr>
        <w:spacing w:after="0" w:line="240" w:lineRule="auto"/>
        <w:ind w:firstLine="562"/>
        <w:jc w:val="both"/>
        <w:rPr>
          <w:rFonts w:ascii="Times New Roman" w:hAnsi="Times New Roman"/>
          <w:sz w:val="24"/>
          <w:szCs w:val="24"/>
        </w:rPr>
      </w:pPr>
    </w:p>
    <w:p w14:paraId="0BDE0BE8" w14:textId="77777777" w:rsidR="004757C7" w:rsidRDefault="004757C7">
      <w:pPr>
        <w:spacing w:after="0" w:line="240" w:lineRule="auto"/>
        <w:rPr>
          <w:rFonts w:ascii="Times New Roman" w:hAnsi="Times New Roman"/>
          <w:b/>
          <w:sz w:val="24"/>
          <w:szCs w:val="24"/>
        </w:rPr>
      </w:pPr>
      <w:r>
        <w:rPr>
          <w:rFonts w:ascii="Times New Roman" w:hAnsi="Times New Roman"/>
          <w:b/>
          <w:sz w:val="24"/>
          <w:szCs w:val="24"/>
        </w:rPr>
        <w:br w:type="page"/>
      </w:r>
    </w:p>
    <w:p w14:paraId="325A9821" w14:textId="18E45D5A" w:rsidR="005D39AC" w:rsidRDefault="005D39AC" w:rsidP="008C7768">
      <w:pPr>
        <w:spacing w:after="120" w:line="240" w:lineRule="auto"/>
        <w:jc w:val="both"/>
        <w:rPr>
          <w:rFonts w:ascii="Times New Roman" w:hAnsi="Times New Roman"/>
          <w:b/>
          <w:sz w:val="24"/>
          <w:szCs w:val="24"/>
        </w:rPr>
      </w:pPr>
      <w:r>
        <w:rPr>
          <w:rFonts w:ascii="Times New Roman" w:hAnsi="Times New Roman"/>
          <w:b/>
          <w:sz w:val="24"/>
          <w:szCs w:val="24"/>
        </w:rPr>
        <w:lastRenderedPageBreak/>
        <w:t>ACKNOWLEDGMENT</w:t>
      </w:r>
    </w:p>
    <w:p w14:paraId="588B0613" w14:textId="0CE8E458" w:rsidR="005D39AC" w:rsidRDefault="00466522" w:rsidP="004757C7">
      <w:pPr>
        <w:spacing w:after="0" w:line="240" w:lineRule="auto"/>
        <w:jc w:val="both"/>
        <w:rPr>
          <w:rFonts w:ascii="Times New Roman" w:hAnsi="Times New Roman"/>
          <w:bCs/>
          <w:sz w:val="24"/>
          <w:szCs w:val="24"/>
        </w:rPr>
      </w:pPr>
      <w:r>
        <w:rPr>
          <w:rFonts w:ascii="Times New Roman" w:hAnsi="Times New Roman"/>
          <w:bCs/>
          <w:sz w:val="24"/>
          <w:szCs w:val="24"/>
        </w:rPr>
        <w:tab/>
      </w:r>
      <w:r w:rsidR="004757C7" w:rsidRPr="004757C7">
        <w:rPr>
          <w:rFonts w:ascii="Times New Roman" w:hAnsi="Times New Roman"/>
          <w:bCs/>
          <w:sz w:val="24"/>
          <w:szCs w:val="24"/>
        </w:rPr>
        <w:t>The author would like to express sincere gratitude to all parties who contributed to the completion of this study. The author also acknowledges the management of Islamic boarding school cooperatives in Aceh Besar for their willingness to participate and provide the necessary data for this study.</w:t>
      </w:r>
      <w:r w:rsidR="004757C7">
        <w:rPr>
          <w:rFonts w:ascii="Times New Roman" w:hAnsi="Times New Roman"/>
          <w:bCs/>
          <w:sz w:val="24"/>
          <w:szCs w:val="24"/>
        </w:rPr>
        <w:t xml:space="preserve"> </w:t>
      </w:r>
      <w:r w:rsidR="004757C7" w:rsidRPr="004757C7">
        <w:rPr>
          <w:rFonts w:ascii="Times New Roman" w:hAnsi="Times New Roman"/>
          <w:bCs/>
          <w:sz w:val="24"/>
          <w:szCs w:val="24"/>
        </w:rPr>
        <w:t xml:space="preserve">Furthermore, appreciation is addressed to the Faculty of Islamic Economics and Business, Universitas Islam Negeri </w:t>
      </w:r>
      <w:proofErr w:type="spellStart"/>
      <w:r w:rsidR="004757C7" w:rsidRPr="004757C7">
        <w:rPr>
          <w:rFonts w:ascii="Times New Roman" w:hAnsi="Times New Roman"/>
          <w:bCs/>
          <w:sz w:val="24"/>
          <w:szCs w:val="24"/>
        </w:rPr>
        <w:t>Ar-Raniry</w:t>
      </w:r>
      <w:proofErr w:type="spellEnd"/>
      <w:r w:rsidR="004757C7" w:rsidRPr="004757C7">
        <w:rPr>
          <w:rFonts w:ascii="Times New Roman" w:hAnsi="Times New Roman"/>
          <w:bCs/>
          <w:sz w:val="24"/>
          <w:szCs w:val="24"/>
        </w:rPr>
        <w:t xml:space="preserve"> Banda Aceh, for providing academic support and a conducive research environment.</w:t>
      </w:r>
      <w:r w:rsidR="004757C7">
        <w:rPr>
          <w:rFonts w:ascii="Times New Roman" w:hAnsi="Times New Roman"/>
          <w:bCs/>
          <w:sz w:val="24"/>
          <w:szCs w:val="24"/>
        </w:rPr>
        <w:t xml:space="preserve"> </w:t>
      </w:r>
    </w:p>
    <w:p w14:paraId="6874E9CE" w14:textId="77777777" w:rsidR="00466522" w:rsidRDefault="00466522" w:rsidP="009D3BDF">
      <w:pPr>
        <w:spacing w:after="0" w:line="240" w:lineRule="auto"/>
        <w:jc w:val="both"/>
        <w:rPr>
          <w:rFonts w:ascii="Times New Roman" w:hAnsi="Times New Roman"/>
          <w:b/>
          <w:sz w:val="24"/>
          <w:szCs w:val="24"/>
        </w:rPr>
      </w:pPr>
    </w:p>
    <w:p w14:paraId="683A7B0B" w14:textId="77777777" w:rsidR="0054702E" w:rsidRDefault="009D3BDF" w:rsidP="00377592">
      <w:pPr>
        <w:spacing w:after="120" w:line="240" w:lineRule="auto"/>
        <w:jc w:val="both"/>
        <w:rPr>
          <w:rFonts w:ascii="Times New Roman" w:hAnsi="Times New Roman"/>
          <w:b/>
          <w:sz w:val="24"/>
          <w:szCs w:val="24"/>
          <w:lang w:val="id-ID"/>
        </w:rPr>
      </w:pPr>
      <w:r>
        <w:rPr>
          <w:rFonts w:ascii="Times New Roman" w:hAnsi="Times New Roman"/>
          <w:b/>
          <w:sz w:val="24"/>
          <w:szCs w:val="24"/>
        </w:rPr>
        <w:t>REFERENCES</w:t>
      </w:r>
    </w:p>
    <w:p w14:paraId="16551A89" w14:textId="5FDDE3F6" w:rsidR="00A90858" w:rsidRDefault="00A90858" w:rsidP="00FA7723">
      <w:pPr>
        <w:spacing w:after="120" w:line="240" w:lineRule="auto"/>
        <w:ind w:left="720" w:hanging="720"/>
        <w:jc w:val="both"/>
        <w:rPr>
          <w:rFonts w:ascii="Times New Roman" w:hAnsi="Times New Roman"/>
          <w:sz w:val="24"/>
          <w:szCs w:val="24"/>
        </w:rPr>
      </w:pPr>
      <w:proofErr w:type="spellStart"/>
      <w:r w:rsidRPr="00A90858">
        <w:rPr>
          <w:rFonts w:ascii="Times New Roman" w:hAnsi="Times New Roman"/>
          <w:sz w:val="24"/>
          <w:szCs w:val="24"/>
        </w:rPr>
        <w:t>Afifuddin</w:t>
      </w:r>
      <w:proofErr w:type="spellEnd"/>
      <w:r w:rsidRPr="00A90858">
        <w:rPr>
          <w:rFonts w:ascii="Times New Roman" w:hAnsi="Times New Roman"/>
          <w:sz w:val="24"/>
          <w:szCs w:val="24"/>
        </w:rPr>
        <w:t xml:space="preserve">, M. (2022). Peran </w:t>
      </w:r>
      <w:proofErr w:type="spellStart"/>
      <w:r w:rsidRPr="00A90858">
        <w:rPr>
          <w:rFonts w:ascii="Times New Roman" w:hAnsi="Times New Roman"/>
          <w:sz w:val="24"/>
          <w:szCs w:val="24"/>
        </w:rPr>
        <w:t>Pesantren</w:t>
      </w:r>
      <w:proofErr w:type="spellEnd"/>
      <w:r w:rsidRPr="00A90858">
        <w:rPr>
          <w:rFonts w:ascii="Times New Roman" w:hAnsi="Times New Roman"/>
          <w:sz w:val="24"/>
          <w:szCs w:val="24"/>
        </w:rPr>
        <w:t xml:space="preserve"> </w:t>
      </w:r>
      <w:proofErr w:type="spellStart"/>
      <w:r w:rsidRPr="00A90858">
        <w:rPr>
          <w:rFonts w:ascii="Times New Roman" w:hAnsi="Times New Roman"/>
          <w:sz w:val="24"/>
          <w:szCs w:val="24"/>
        </w:rPr>
        <w:t>dalam</w:t>
      </w:r>
      <w:proofErr w:type="spellEnd"/>
      <w:r w:rsidRPr="00A90858">
        <w:rPr>
          <w:rFonts w:ascii="Times New Roman" w:hAnsi="Times New Roman"/>
          <w:sz w:val="24"/>
          <w:szCs w:val="24"/>
        </w:rPr>
        <w:t xml:space="preserve"> </w:t>
      </w:r>
      <w:proofErr w:type="spellStart"/>
      <w:r w:rsidRPr="00A90858">
        <w:rPr>
          <w:rFonts w:ascii="Times New Roman" w:hAnsi="Times New Roman"/>
          <w:sz w:val="24"/>
          <w:szCs w:val="24"/>
        </w:rPr>
        <w:t>Pengembangan</w:t>
      </w:r>
      <w:proofErr w:type="spellEnd"/>
      <w:r w:rsidRPr="00A90858">
        <w:rPr>
          <w:rFonts w:ascii="Times New Roman" w:hAnsi="Times New Roman"/>
          <w:sz w:val="24"/>
          <w:szCs w:val="24"/>
        </w:rPr>
        <w:t xml:space="preserve"> Ekonomi Syariah (Studi pada </w:t>
      </w:r>
      <w:proofErr w:type="spellStart"/>
      <w:r w:rsidRPr="00A90858">
        <w:rPr>
          <w:rFonts w:ascii="Times New Roman" w:hAnsi="Times New Roman"/>
          <w:sz w:val="24"/>
          <w:szCs w:val="24"/>
        </w:rPr>
        <w:t>Pondok</w:t>
      </w:r>
      <w:proofErr w:type="spellEnd"/>
      <w:r w:rsidRPr="00A90858">
        <w:rPr>
          <w:rFonts w:ascii="Times New Roman" w:hAnsi="Times New Roman"/>
          <w:sz w:val="24"/>
          <w:szCs w:val="24"/>
        </w:rPr>
        <w:t xml:space="preserve"> </w:t>
      </w:r>
      <w:proofErr w:type="spellStart"/>
      <w:r w:rsidRPr="00A90858">
        <w:rPr>
          <w:rFonts w:ascii="Times New Roman" w:hAnsi="Times New Roman"/>
          <w:sz w:val="24"/>
          <w:szCs w:val="24"/>
        </w:rPr>
        <w:t>Pesantren</w:t>
      </w:r>
      <w:proofErr w:type="spellEnd"/>
      <w:r w:rsidRPr="00A90858">
        <w:rPr>
          <w:rFonts w:ascii="Times New Roman" w:hAnsi="Times New Roman"/>
          <w:sz w:val="24"/>
          <w:szCs w:val="24"/>
        </w:rPr>
        <w:t xml:space="preserve"> Nurul Jadid dan </w:t>
      </w:r>
      <w:proofErr w:type="spellStart"/>
      <w:r w:rsidRPr="00A90858">
        <w:rPr>
          <w:rFonts w:ascii="Times New Roman" w:hAnsi="Times New Roman"/>
          <w:sz w:val="24"/>
          <w:szCs w:val="24"/>
        </w:rPr>
        <w:t>Pondok</w:t>
      </w:r>
      <w:proofErr w:type="spellEnd"/>
      <w:r w:rsidRPr="00A90858">
        <w:rPr>
          <w:rFonts w:ascii="Times New Roman" w:hAnsi="Times New Roman"/>
          <w:sz w:val="24"/>
          <w:szCs w:val="24"/>
        </w:rPr>
        <w:t xml:space="preserve"> </w:t>
      </w:r>
      <w:proofErr w:type="spellStart"/>
      <w:r w:rsidRPr="00A90858">
        <w:rPr>
          <w:rFonts w:ascii="Times New Roman" w:hAnsi="Times New Roman"/>
          <w:sz w:val="24"/>
          <w:szCs w:val="24"/>
        </w:rPr>
        <w:t>Pesantren</w:t>
      </w:r>
      <w:proofErr w:type="spellEnd"/>
      <w:r w:rsidRPr="00A90858">
        <w:rPr>
          <w:rFonts w:ascii="Times New Roman" w:hAnsi="Times New Roman"/>
          <w:sz w:val="24"/>
          <w:szCs w:val="24"/>
        </w:rPr>
        <w:t xml:space="preserve"> Zainul Hasan). </w:t>
      </w:r>
      <w:r w:rsidRPr="00A90858">
        <w:rPr>
          <w:rFonts w:ascii="Times New Roman" w:hAnsi="Times New Roman"/>
          <w:i/>
          <w:iCs/>
          <w:sz w:val="24"/>
          <w:szCs w:val="24"/>
        </w:rPr>
        <w:t>ILTIZAMAT: Journal of economic sharia law and business studies</w:t>
      </w:r>
      <w:r w:rsidRPr="00A90858">
        <w:rPr>
          <w:rFonts w:ascii="Times New Roman" w:hAnsi="Times New Roman"/>
          <w:sz w:val="24"/>
          <w:szCs w:val="24"/>
        </w:rPr>
        <w:t>, 2 (1), 215.</w:t>
      </w:r>
    </w:p>
    <w:p w14:paraId="3DB57BC9" w14:textId="2018308E" w:rsidR="00496E60" w:rsidRDefault="00496E60" w:rsidP="00FA7723">
      <w:pPr>
        <w:spacing w:after="120" w:line="240" w:lineRule="auto"/>
        <w:ind w:left="720" w:hanging="720"/>
        <w:jc w:val="both"/>
        <w:rPr>
          <w:rFonts w:ascii="Times New Roman" w:hAnsi="Times New Roman"/>
          <w:sz w:val="24"/>
          <w:szCs w:val="24"/>
        </w:rPr>
      </w:pPr>
      <w:r w:rsidRPr="00496E60">
        <w:rPr>
          <w:rFonts w:ascii="Times New Roman" w:hAnsi="Times New Roman"/>
          <w:sz w:val="24"/>
          <w:szCs w:val="24"/>
        </w:rPr>
        <w:t xml:space="preserve">Dewi, N., Wijaya, I., Husin, D., Raihan, R., &amp; Mawaddah, N. (2021). </w:t>
      </w:r>
      <w:proofErr w:type="spellStart"/>
      <w:r w:rsidRPr="00496E60">
        <w:rPr>
          <w:rFonts w:ascii="Times New Roman" w:hAnsi="Times New Roman"/>
          <w:sz w:val="24"/>
          <w:szCs w:val="24"/>
        </w:rPr>
        <w:t>Pengaruh</w:t>
      </w:r>
      <w:proofErr w:type="spellEnd"/>
      <w:r w:rsidRPr="00496E60">
        <w:rPr>
          <w:rFonts w:ascii="Times New Roman" w:hAnsi="Times New Roman"/>
          <w:sz w:val="24"/>
          <w:szCs w:val="24"/>
        </w:rPr>
        <w:t xml:space="preserve"> </w:t>
      </w:r>
      <w:proofErr w:type="spellStart"/>
      <w:r w:rsidRPr="00496E60">
        <w:rPr>
          <w:rFonts w:ascii="Times New Roman" w:hAnsi="Times New Roman"/>
          <w:sz w:val="24"/>
          <w:szCs w:val="24"/>
        </w:rPr>
        <w:t>Pemahaman</w:t>
      </w:r>
      <w:proofErr w:type="spellEnd"/>
      <w:r w:rsidRPr="00496E60">
        <w:rPr>
          <w:rFonts w:ascii="Times New Roman" w:hAnsi="Times New Roman"/>
          <w:sz w:val="24"/>
          <w:szCs w:val="24"/>
        </w:rPr>
        <w:t xml:space="preserve"> </w:t>
      </w:r>
      <w:proofErr w:type="spellStart"/>
      <w:r w:rsidRPr="00496E60">
        <w:rPr>
          <w:rFonts w:ascii="Times New Roman" w:hAnsi="Times New Roman"/>
          <w:sz w:val="24"/>
          <w:szCs w:val="24"/>
        </w:rPr>
        <w:t>Standar</w:t>
      </w:r>
      <w:proofErr w:type="spellEnd"/>
      <w:r w:rsidRPr="00496E60">
        <w:rPr>
          <w:rFonts w:ascii="Times New Roman" w:hAnsi="Times New Roman"/>
          <w:sz w:val="24"/>
          <w:szCs w:val="24"/>
        </w:rPr>
        <w:t xml:space="preserve"> </w:t>
      </w:r>
      <w:proofErr w:type="spellStart"/>
      <w:r w:rsidRPr="00496E60">
        <w:rPr>
          <w:rFonts w:ascii="Times New Roman" w:hAnsi="Times New Roman"/>
          <w:sz w:val="24"/>
          <w:szCs w:val="24"/>
        </w:rPr>
        <w:t>Akuntansi</w:t>
      </w:r>
      <w:proofErr w:type="spellEnd"/>
      <w:r w:rsidRPr="00496E60">
        <w:rPr>
          <w:rFonts w:ascii="Times New Roman" w:hAnsi="Times New Roman"/>
          <w:sz w:val="24"/>
          <w:szCs w:val="24"/>
        </w:rPr>
        <w:t xml:space="preserve"> dan </w:t>
      </w:r>
      <w:proofErr w:type="spellStart"/>
      <w:r w:rsidRPr="00496E60">
        <w:rPr>
          <w:rFonts w:ascii="Times New Roman" w:hAnsi="Times New Roman"/>
          <w:sz w:val="24"/>
          <w:szCs w:val="24"/>
        </w:rPr>
        <w:t>Kompetensi</w:t>
      </w:r>
      <w:proofErr w:type="spellEnd"/>
      <w:r w:rsidRPr="00496E60">
        <w:rPr>
          <w:rFonts w:ascii="Times New Roman" w:hAnsi="Times New Roman"/>
          <w:sz w:val="24"/>
          <w:szCs w:val="24"/>
        </w:rPr>
        <w:t xml:space="preserve"> </w:t>
      </w:r>
      <w:proofErr w:type="spellStart"/>
      <w:r w:rsidRPr="00496E60">
        <w:rPr>
          <w:rFonts w:ascii="Times New Roman" w:hAnsi="Times New Roman"/>
          <w:sz w:val="24"/>
          <w:szCs w:val="24"/>
        </w:rPr>
        <w:t>Karyawan</w:t>
      </w:r>
      <w:proofErr w:type="spellEnd"/>
      <w:r w:rsidRPr="00496E60">
        <w:rPr>
          <w:rFonts w:ascii="Times New Roman" w:hAnsi="Times New Roman"/>
          <w:sz w:val="24"/>
          <w:szCs w:val="24"/>
        </w:rPr>
        <w:t xml:space="preserve"> </w:t>
      </w:r>
      <w:proofErr w:type="spellStart"/>
      <w:r w:rsidRPr="00496E60">
        <w:rPr>
          <w:rFonts w:ascii="Times New Roman" w:hAnsi="Times New Roman"/>
          <w:sz w:val="24"/>
          <w:szCs w:val="24"/>
        </w:rPr>
        <w:t>terhadap</w:t>
      </w:r>
      <w:proofErr w:type="spellEnd"/>
      <w:r w:rsidRPr="00496E60">
        <w:rPr>
          <w:rFonts w:ascii="Times New Roman" w:hAnsi="Times New Roman"/>
          <w:sz w:val="24"/>
          <w:szCs w:val="24"/>
        </w:rPr>
        <w:t xml:space="preserve"> </w:t>
      </w:r>
      <w:proofErr w:type="spellStart"/>
      <w:r w:rsidRPr="00496E60">
        <w:rPr>
          <w:rFonts w:ascii="Times New Roman" w:hAnsi="Times New Roman"/>
          <w:sz w:val="24"/>
          <w:szCs w:val="24"/>
        </w:rPr>
        <w:t>Akuntabilitas</w:t>
      </w:r>
      <w:proofErr w:type="spellEnd"/>
      <w:r w:rsidRPr="00496E60">
        <w:rPr>
          <w:rFonts w:ascii="Times New Roman" w:hAnsi="Times New Roman"/>
          <w:sz w:val="24"/>
          <w:szCs w:val="24"/>
        </w:rPr>
        <w:t xml:space="preserve"> </w:t>
      </w:r>
      <w:proofErr w:type="spellStart"/>
      <w:r w:rsidRPr="00496E60">
        <w:rPr>
          <w:rFonts w:ascii="Times New Roman" w:hAnsi="Times New Roman"/>
          <w:sz w:val="24"/>
          <w:szCs w:val="24"/>
        </w:rPr>
        <w:t>Pengelolaan</w:t>
      </w:r>
      <w:proofErr w:type="spellEnd"/>
      <w:r w:rsidRPr="00496E60">
        <w:rPr>
          <w:rFonts w:ascii="Times New Roman" w:hAnsi="Times New Roman"/>
          <w:sz w:val="24"/>
          <w:szCs w:val="24"/>
        </w:rPr>
        <w:t xml:space="preserve"> </w:t>
      </w:r>
      <w:proofErr w:type="spellStart"/>
      <w:r w:rsidRPr="00496E60">
        <w:rPr>
          <w:rFonts w:ascii="Times New Roman" w:hAnsi="Times New Roman"/>
          <w:sz w:val="24"/>
          <w:szCs w:val="24"/>
        </w:rPr>
        <w:t>Keuangan</w:t>
      </w:r>
      <w:proofErr w:type="spellEnd"/>
      <w:r w:rsidRPr="00496E60">
        <w:rPr>
          <w:rFonts w:ascii="Times New Roman" w:hAnsi="Times New Roman"/>
          <w:sz w:val="24"/>
          <w:szCs w:val="24"/>
        </w:rPr>
        <w:t xml:space="preserve"> </w:t>
      </w:r>
      <w:proofErr w:type="spellStart"/>
      <w:r w:rsidRPr="00496E60">
        <w:rPr>
          <w:rFonts w:ascii="Times New Roman" w:hAnsi="Times New Roman"/>
          <w:sz w:val="24"/>
          <w:szCs w:val="24"/>
        </w:rPr>
        <w:t>Pondok</w:t>
      </w:r>
      <w:proofErr w:type="spellEnd"/>
      <w:r w:rsidRPr="00496E60">
        <w:rPr>
          <w:rFonts w:ascii="Times New Roman" w:hAnsi="Times New Roman"/>
          <w:sz w:val="24"/>
          <w:szCs w:val="24"/>
        </w:rPr>
        <w:t xml:space="preserve"> </w:t>
      </w:r>
      <w:proofErr w:type="spellStart"/>
      <w:r w:rsidRPr="00496E60">
        <w:rPr>
          <w:rFonts w:ascii="Times New Roman" w:hAnsi="Times New Roman"/>
          <w:sz w:val="24"/>
          <w:szCs w:val="24"/>
        </w:rPr>
        <w:t>Pesantren</w:t>
      </w:r>
      <w:proofErr w:type="spellEnd"/>
      <w:r w:rsidRPr="00496E60">
        <w:rPr>
          <w:rFonts w:ascii="Times New Roman" w:hAnsi="Times New Roman"/>
          <w:sz w:val="24"/>
          <w:szCs w:val="24"/>
        </w:rPr>
        <w:t xml:space="preserve"> di Aceh. </w:t>
      </w:r>
      <w:r w:rsidRPr="00496E60">
        <w:rPr>
          <w:rFonts w:ascii="Times New Roman" w:hAnsi="Times New Roman"/>
          <w:i/>
          <w:iCs/>
          <w:sz w:val="24"/>
          <w:szCs w:val="24"/>
        </w:rPr>
        <w:t xml:space="preserve">Proceeding Seminar Nasional </w:t>
      </w:r>
      <w:proofErr w:type="spellStart"/>
      <w:r w:rsidRPr="00496E60">
        <w:rPr>
          <w:rFonts w:ascii="Times New Roman" w:hAnsi="Times New Roman"/>
          <w:i/>
          <w:iCs/>
          <w:sz w:val="24"/>
          <w:szCs w:val="24"/>
        </w:rPr>
        <w:t>Politeknik</w:t>
      </w:r>
      <w:proofErr w:type="spellEnd"/>
      <w:r w:rsidRPr="00496E60">
        <w:rPr>
          <w:rFonts w:ascii="Times New Roman" w:hAnsi="Times New Roman"/>
          <w:i/>
          <w:iCs/>
          <w:sz w:val="24"/>
          <w:szCs w:val="24"/>
        </w:rPr>
        <w:t xml:space="preserve"> Negeri Lhokseumawe</w:t>
      </w:r>
      <w:r w:rsidRPr="00496E60">
        <w:rPr>
          <w:rFonts w:ascii="Times New Roman" w:hAnsi="Times New Roman"/>
          <w:sz w:val="24"/>
          <w:szCs w:val="24"/>
        </w:rPr>
        <w:t>, 5(1).</w:t>
      </w:r>
    </w:p>
    <w:p w14:paraId="0CB520B6" w14:textId="77777777" w:rsidR="00846D59" w:rsidRDefault="00846D59" w:rsidP="00846D59">
      <w:pPr>
        <w:spacing w:after="120" w:line="240" w:lineRule="auto"/>
        <w:ind w:left="720" w:hanging="720"/>
        <w:jc w:val="both"/>
        <w:rPr>
          <w:rFonts w:ascii="Times New Roman" w:hAnsi="Times New Roman"/>
          <w:sz w:val="24"/>
          <w:szCs w:val="24"/>
        </w:rPr>
      </w:pPr>
      <w:r w:rsidRPr="00846D59">
        <w:rPr>
          <w:rFonts w:ascii="Times New Roman" w:hAnsi="Times New Roman"/>
          <w:sz w:val="24"/>
          <w:szCs w:val="24"/>
        </w:rPr>
        <w:t xml:space="preserve">Haeri, R. (2023). </w:t>
      </w:r>
      <w:proofErr w:type="spellStart"/>
      <w:r w:rsidRPr="00846D59">
        <w:rPr>
          <w:rFonts w:ascii="Times New Roman" w:hAnsi="Times New Roman"/>
          <w:i/>
          <w:iCs/>
          <w:sz w:val="24"/>
          <w:szCs w:val="24"/>
        </w:rPr>
        <w:t>Pesantren</w:t>
      </w:r>
      <w:proofErr w:type="spellEnd"/>
      <w:r w:rsidRPr="00846D59">
        <w:rPr>
          <w:rFonts w:ascii="Times New Roman" w:hAnsi="Times New Roman"/>
          <w:i/>
          <w:iCs/>
          <w:sz w:val="24"/>
          <w:szCs w:val="24"/>
        </w:rPr>
        <w:t xml:space="preserve"> dan Gerakan </w:t>
      </w:r>
      <w:proofErr w:type="spellStart"/>
      <w:r w:rsidRPr="00846D59">
        <w:rPr>
          <w:rFonts w:ascii="Times New Roman" w:hAnsi="Times New Roman"/>
          <w:i/>
          <w:iCs/>
          <w:sz w:val="24"/>
          <w:szCs w:val="24"/>
        </w:rPr>
        <w:t>Koperasi</w:t>
      </w:r>
      <w:proofErr w:type="spellEnd"/>
      <w:r w:rsidRPr="00846D59">
        <w:rPr>
          <w:rFonts w:ascii="Times New Roman" w:hAnsi="Times New Roman"/>
          <w:i/>
          <w:iCs/>
          <w:sz w:val="24"/>
          <w:szCs w:val="24"/>
        </w:rPr>
        <w:t xml:space="preserve"> </w:t>
      </w:r>
      <w:proofErr w:type="spellStart"/>
      <w:r w:rsidRPr="00846D59">
        <w:rPr>
          <w:rFonts w:ascii="Times New Roman" w:hAnsi="Times New Roman"/>
          <w:i/>
          <w:iCs/>
          <w:sz w:val="24"/>
          <w:szCs w:val="24"/>
        </w:rPr>
        <w:t>Pondok</w:t>
      </w:r>
      <w:proofErr w:type="spellEnd"/>
      <w:r w:rsidRPr="00846D59">
        <w:rPr>
          <w:rFonts w:ascii="Times New Roman" w:hAnsi="Times New Roman"/>
          <w:i/>
          <w:iCs/>
          <w:sz w:val="24"/>
          <w:szCs w:val="24"/>
        </w:rPr>
        <w:t xml:space="preserve"> </w:t>
      </w:r>
      <w:proofErr w:type="spellStart"/>
      <w:r w:rsidRPr="00846D59">
        <w:rPr>
          <w:rFonts w:ascii="Times New Roman" w:hAnsi="Times New Roman"/>
          <w:i/>
          <w:iCs/>
          <w:sz w:val="24"/>
          <w:szCs w:val="24"/>
        </w:rPr>
        <w:t>Pesantren</w:t>
      </w:r>
      <w:proofErr w:type="spellEnd"/>
      <w:r w:rsidRPr="00846D59">
        <w:rPr>
          <w:rFonts w:ascii="Times New Roman" w:hAnsi="Times New Roman"/>
          <w:i/>
          <w:iCs/>
          <w:sz w:val="24"/>
          <w:szCs w:val="24"/>
        </w:rPr>
        <w:t xml:space="preserve"> (</w:t>
      </w:r>
      <w:proofErr w:type="spellStart"/>
      <w:r w:rsidRPr="00846D59">
        <w:rPr>
          <w:rFonts w:ascii="Times New Roman" w:hAnsi="Times New Roman"/>
          <w:i/>
          <w:iCs/>
          <w:sz w:val="24"/>
          <w:szCs w:val="24"/>
        </w:rPr>
        <w:t>Kopontren</w:t>
      </w:r>
      <w:proofErr w:type="spellEnd"/>
      <w:r w:rsidRPr="00846D59">
        <w:rPr>
          <w:rFonts w:ascii="Times New Roman" w:hAnsi="Times New Roman"/>
          <w:i/>
          <w:iCs/>
          <w:sz w:val="24"/>
          <w:szCs w:val="24"/>
        </w:rPr>
        <w:t>) Modern Islamic Boarding Schools and the Cooperative Movement</w:t>
      </w:r>
      <w:r w:rsidRPr="00846D59">
        <w:rPr>
          <w:rFonts w:ascii="Times New Roman" w:hAnsi="Times New Roman"/>
          <w:sz w:val="24"/>
          <w:szCs w:val="24"/>
        </w:rPr>
        <w:t>.</w:t>
      </w:r>
    </w:p>
    <w:p w14:paraId="71B3261E" w14:textId="7BB43F88" w:rsidR="00496E60" w:rsidRDefault="00496E60" w:rsidP="00496E60">
      <w:pPr>
        <w:spacing w:after="120" w:line="240" w:lineRule="auto"/>
        <w:ind w:left="720" w:hanging="720"/>
        <w:jc w:val="both"/>
        <w:rPr>
          <w:rFonts w:ascii="Times New Roman" w:hAnsi="Times New Roman"/>
          <w:sz w:val="24"/>
          <w:szCs w:val="24"/>
        </w:rPr>
      </w:pPr>
      <w:proofErr w:type="spellStart"/>
      <w:r w:rsidRPr="00496E60">
        <w:rPr>
          <w:rFonts w:ascii="Times New Roman" w:hAnsi="Times New Roman"/>
          <w:sz w:val="24"/>
          <w:szCs w:val="24"/>
        </w:rPr>
        <w:t>Ikatan</w:t>
      </w:r>
      <w:proofErr w:type="spellEnd"/>
      <w:r w:rsidRPr="00496E60">
        <w:rPr>
          <w:rFonts w:ascii="Times New Roman" w:hAnsi="Times New Roman"/>
          <w:sz w:val="24"/>
          <w:szCs w:val="24"/>
        </w:rPr>
        <w:t xml:space="preserve"> </w:t>
      </w:r>
      <w:proofErr w:type="spellStart"/>
      <w:r w:rsidRPr="00496E60">
        <w:rPr>
          <w:rFonts w:ascii="Times New Roman" w:hAnsi="Times New Roman"/>
          <w:sz w:val="24"/>
          <w:szCs w:val="24"/>
        </w:rPr>
        <w:t>Akuntan</w:t>
      </w:r>
      <w:proofErr w:type="spellEnd"/>
      <w:r w:rsidRPr="00496E60">
        <w:rPr>
          <w:rFonts w:ascii="Times New Roman" w:hAnsi="Times New Roman"/>
          <w:sz w:val="24"/>
          <w:szCs w:val="24"/>
        </w:rPr>
        <w:t xml:space="preserve"> Indonesia. (2023</w:t>
      </w:r>
      <w:r>
        <w:rPr>
          <w:rFonts w:ascii="Times New Roman" w:hAnsi="Times New Roman"/>
          <w:sz w:val="24"/>
          <w:szCs w:val="24"/>
        </w:rPr>
        <w:t>).</w:t>
      </w:r>
      <w:r w:rsidRPr="00496E60">
        <w:rPr>
          <w:rFonts w:ascii="Times New Roman" w:hAnsi="Times New Roman"/>
          <w:sz w:val="24"/>
          <w:szCs w:val="24"/>
        </w:rPr>
        <w:t xml:space="preserve"> </w:t>
      </w:r>
      <w:proofErr w:type="spellStart"/>
      <w:r w:rsidRPr="00496E60">
        <w:rPr>
          <w:rFonts w:ascii="Times New Roman" w:hAnsi="Times New Roman"/>
          <w:sz w:val="24"/>
          <w:szCs w:val="24"/>
        </w:rPr>
        <w:t>Standar</w:t>
      </w:r>
      <w:proofErr w:type="spellEnd"/>
      <w:r w:rsidRPr="00496E60">
        <w:rPr>
          <w:rFonts w:ascii="Times New Roman" w:hAnsi="Times New Roman"/>
          <w:sz w:val="24"/>
          <w:szCs w:val="24"/>
        </w:rPr>
        <w:t xml:space="preserve"> </w:t>
      </w:r>
      <w:proofErr w:type="spellStart"/>
      <w:r w:rsidRPr="00496E60">
        <w:rPr>
          <w:rFonts w:ascii="Times New Roman" w:hAnsi="Times New Roman"/>
          <w:sz w:val="24"/>
          <w:szCs w:val="24"/>
        </w:rPr>
        <w:t>Akuntansi</w:t>
      </w:r>
      <w:proofErr w:type="spellEnd"/>
      <w:r w:rsidRPr="00496E60">
        <w:rPr>
          <w:rFonts w:ascii="Times New Roman" w:hAnsi="Times New Roman"/>
          <w:sz w:val="24"/>
          <w:szCs w:val="24"/>
        </w:rPr>
        <w:t xml:space="preserve"> </w:t>
      </w:r>
      <w:proofErr w:type="spellStart"/>
      <w:r w:rsidRPr="00496E60">
        <w:rPr>
          <w:rFonts w:ascii="Times New Roman" w:hAnsi="Times New Roman"/>
          <w:sz w:val="24"/>
          <w:szCs w:val="24"/>
        </w:rPr>
        <w:t>Keuangan</w:t>
      </w:r>
      <w:proofErr w:type="spellEnd"/>
      <w:r w:rsidRPr="00496E60">
        <w:rPr>
          <w:rFonts w:ascii="Times New Roman" w:hAnsi="Times New Roman"/>
          <w:sz w:val="24"/>
          <w:szCs w:val="24"/>
        </w:rPr>
        <w:t xml:space="preserve"> Syariah. Retrieved from PENYESUAIAN</w:t>
      </w:r>
      <w:r>
        <w:rPr>
          <w:rFonts w:ascii="Times New Roman" w:hAnsi="Times New Roman"/>
          <w:sz w:val="24"/>
          <w:szCs w:val="24"/>
        </w:rPr>
        <w:t xml:space="preserve"> </w:t>
      </w:r>
      <w:r w:rsidRPr="00496E60">
        <w:rPr>
          <w:rFonts w:ascii="Times New Roman" w:hAnsi="Times New Roman"/>
          <w:sz w:val="24"/>
          <w:szCs w:val="24"/>
        </w:rPr>
        <w:t>TAHUNAN</w:t>
      </w:r>
      <w:r>
        <w:rPr>
          <w:rFonts w:ascii="Times New Roman" w:hAnsi="Times New Roman"/>
          <w:sz w:val="24"/>
          <w:szCs w:val="24"/>
        </w:rPr>
        <w:t xml:space="preserve"> </w:t>
      </w:r>
      <w:r w:rsidRPr="00496E60">
        <w:rPr>
          <w:rFonts w:ascii="Times New Roman" w:hAnsi="Times New Roman"/>
          <w:sz w:val="24"/>
          <w:szCs w:val="24"/>
        </w:rPr>
        <w:t>2023:</w:t>
      </w:r>
      <w:r>
        <w:rPr>
          <w:rFonts w:ascii="Times New Roman" w:hAnsi="Times New Roman"/>
          <w:sz w:val="24"/>
          <w:szCs w:val="24"/>
        </w:rPr>
        <w:t xml:space="preserve"> </w:t>
      </w:r>
      <w:r w:rsidRPr="00496E60">
        <w:rPr>
          <w:rFonts w:ascii="Times New Roman" w:hAnsi="Times New Roman"/>
          <w:sz w:val="24"/>
          <w:szCs w:val="24"/>
        </w:rPr>
        <w:t>http://www.iaiglobal.or.id/v03/standar-akuntansikeuangan/syariah</w:t>
      </w:r>
      <w:r>
        <w:rPr>
          <w:rFonts w:ascii="Times New Roman" w:hAnsi="Times New Roman"/>
          <w:sz w:val="24"/>
          <w:szCs w:val="24"/>
        </w:rPr>
        <w:t>.</w:t>
      </w:r>
    </w:p>
    <w:p w14:paraId="1F11C214" w14:textId="5E693843" w:rsidR="00846D59" w:rsidRDefault="00846D59" w:rsidP="00496E60">
      <w:pPr>
        <w:spacing w:after="120" w:line="240" w:lineRule="auto"/>
        <w:ind w:left="720" w:hanging="720"/>
        <w:jc w:val="both"/>
        <w:rPr>
          <w:rFonts w:ascii="Times New Roman" w:hAnsi="Times New Roman"/>
          <w:sz w:val="24"/>
          <w:szCs w:val="24"/>
        </w:rPr>
      </w:pPr>
      <w:proofErr w:type="spellStart"/>
      <w:r w:rsidRPr="00846D59">
        <w:rPr>
          <w:rFonts w:ascii="Times New Roman" w:hAnsi="Times New Roman"/>
          <w:sz w:val="24"/>
          <w:szCs w:val="24"/>
        </w:rPr>
        <w:t>Prakoso</w:t>
      </w:r>
      <w:proofErr w:type="spellEnd"/>
      <w:r w:rsidRPr="00846D59">
        <w:rPr>
          <w:rFonts w:ascii="Times New Roman" w:hAnsi="Times New Roman"/>
          <w:sz w:val="24"/>
          <w:szCs w:val="24"/>
        </w:rPr>
        <w:t xml:space="preserve">, M. D. (2021). </w:t>
      </w:r>
      <w:proofErr w:type="spellStart"/>
      <w:r w:rsidRPr="00846D59">
        <w:rPr>
          <w:rFonts w:ascii="Times New Roman" w:hAnsi="Times New Roman"/>
          <w:i/>
          <w:iCs/>
          <w:sz w:val="24"/>
          <w:szCs w:val="24"/>
        </w:rPr>
        <w:t>Analisis</w:t>
      </w:r>
      <w:proofErr w:type="spellEnd"/>
      <w:r w:rsidRPr="00846D59">
        <w:rPr>
          <w:rFonts w:ascii="Times New Roman" w:hAnsi="Times New Roman"/>
          <w:i/>
          <w:iCs/>
          <w:sz w:val="24"/>
          <w:szCs w:val="24"/>
        </w:rPr>
        <w:t xml:space="preserve"> </w:t>
      </w:r>
      <w:proofErr w:type="spellStart"/>
      <w:r w:rsidRPr="00846D59">
        <w:rPr>
          <w:rFonts w:ascii="Times New Roman" w:hAnsi="Times New Roman"/>
          <w:i/>
          <w:iCs/>
          <w:sz w:val="24"/>
          <w:szCs w:val="24"/>
        </w:rPr>
        <w:t>Akuntabilitas</w:t>
      </w:r>
      <w:proofErr w:type="spellEnd"/>
      <w:r w:rsidRPr="00846D59">
        <w:rPr>
          <w:rFonts w:ascii="Times New Roman" w:hAnsi="Times New Roman"/>
          <w:i/>
          <w:iCs/>
          <w:sz w:val="24"/>
          <w:szCs w:val="24"/>
        </w:rPr>
        <w:t xml:space="preserve"> dan </w:t>
      </w:r>
      <w:proofErr w:type="spellStart"/>
      <w:r w:rsidRPr="00846D59">
        <w:rPr>
          <w:rFonts w:ascii="Times New Roman" w:hAnsi="Times New Roman"/>
          <w:i/>
          <w:iCs/>
          <w:sz w:val="24"/>
          <w:szCs w:val="24"/>
        </w:rPr>
        <w:t>Transparansi</w:t>
      </w:r>
      <w:proofErr w:type="spellEnd"/>
      <w:r w:rsidRPr="00846D59">
        <w:rPr>
          <w:rFonts w:ascii="Times New Roman" w:hAnsi="Times New Roman"/>
          <w:i/>
          <w:iCs/>
          <w:sz w:val="24"/>
          <w:szCs w:val="24"/>
        </w:rPr>
        <w:t xml:space="preserve"> </w:t>
      </w:r>
      <w:proofErr w:type="spellStart"/>
      <w:r w:rsidRPr="00846D59">
        <w:rPr>
          <w:rFonts w:ascii="Times New Roman" w:hAnsi="Times New Roman"/>
          <w:i/>
          <w:iCs/>
          <w:sz w:val="24"/>
          <w:szCs w:val="24"/>
        </w:rPr>
        <w:t>Pengelolaan</w:t>
      </w:r>
      <w:proofErr w:type="spellEnd"/>
      <w:r w:rsidRPr="00846D59">
        <w:rPr>
          <w:rFonts w:ascii="Times New Roman" w:hAnsi="Times New Roman"/>
          <w:i/>
          <w:iCs/>
          <w:sz w:val="24"/>
          <w:szCs w:val="24"/>
        </w:rPr>
        <w:t xml:space="preserve"> </w:t>
      </w:r>
      <w:proofErr w:type="spellStart"/>
      <w:r w:rsidRPr="00846D59">
        <w:rPr>
          <w:rFonts w:ascii="Times New Roman" w:hAnsi="Times New Roman"/>
          <w:i/>
          <w:iCs/>
          <w:sz w:val="24"/>
          <w:szCs w:val="24"/>
        </w:rPr>
        <w:t>Keuangan</w:t>
      </w:r>
      <w:proofErr w:type="spellEnd"/>
      <w:r w:rsidRPr="00846D59">
        <w:rPr>
          <w:rFonts w:ascii="Times New Roman" w:hAnsi="Times New Roman"/>
          <w:i/>
          <w:iCs/>
          <w:sz w:val="24"/>
          <w:szCs w:val="24"/>
        </w:rPr>
        <w:t xml:space="preserve"> </w:t>
      </w:r>
      <w:proofErr w:type="spellStart"/>
      <w:r w:rsidRPr="00846D59">
        <w:rPr>
          <w:rFonts w:ascii="Times New Roman" w:hAnsi="Times New Roman"/>
          <w:i/>
          <w:iCs/>
          <w:sz w:val="24"/>
          <w:szCs w:val="24"/>
        </w:rPr>
        <w:t>Organisasi</w:t>
      </w:r>
      <w:proofErr w:type="spellEnd"/>
      <w:r w:rsidRPr="00846D59">
        <w:rPr>
          <w:rFonts w:ascii="Times New Roman" w:hAnsi="Times New Roman"/>
          <w:i/>
          <w:iCs/>
          <w:sz w:val="24"/>
          <w:szCs w:val="24"/>
        </w:rPr>
        <w:t xml:space="preserve"> </w:t>
      </w:r>
      <w:proofErr w:type="spellStart"/>
      <w:r w:rsidRPr="00846D59">
        <w:rPr>
          <w:rFonts w:ascii="Times New Roman" w:hAnsi="Times New Roman"/>
          <w:i/>
          <w:iCs/>
          <w:sz w:val="24"/>
          <w:szCs w:val="24"/>
        </w:rPr>
        <w:t>Nirlaba</w:t>
      </w:r>
      <w:r w:rsidRPr="00846D59">
        <w:rPr>
          <w:rFonts w:ascii="Times New Roman" w:hAnsi="Times New Roman"/>
          <w:sz w:val="24"/>
          <w:szCs w:val="24"/>
        </w:rPr>
        <w:t>.Yogyakarta</w:t>
      </w:r>
      <w:proofErr w:type="spellEnd"/>
      <w:r w:rsidRPr="00846D59">
        <w:rPr>
          <w:rFonts w:ascii="Times New Roman" w:hAnsi="Times New Roman"/>
          <w:sz w:val="24"/>
          <w:szCs w:val="24"/>
        </w:rPr>
        <w:t>: repository.uajy.ac.id.</w:t>
      </w:r>
    </w:p>
    <w:p w14:paraId="29898077" w14:textId="00EC87C8" w:rsidR="005E4A90" w:rsidRDefault="005E4A90" w:rsidP="00496E60">
      <w:pPr>
        <w:spacing w:after="120" w:line="240" w:lineRule="auto"/>
        <w:ind w:left="720" w:hanging="720"/>
        <w:jc w:val="both"/>
        <w:rPr>
          <w:rFonts w:ascii="Times New Roman" w:hAnsi="Times New Roman"/>
          <w:sz w:val="24"/>
          <w:szCs w:val="24"/>
        </w:rPr>
      </w:pPr>
      <w:proofErr w:type="spellStart"/>
      <w:r w:rsidRPr="005E4A90">
        <w:rPr>
          <w:rFonts w:ascii="Times New Roman" w:hAnsi="Times New Roman"/>
          <w:sz w:val="24"/>
          <w:szCs w:val="24"/>
        </w:rPr>
        <w:t>Sehid</w:t>
      </w:r>
      <w:proofErr w:type="spellEnd"/>
      <w:r w:rsidRPr="005E4A90">
        <w:rPr>
          <w:rFonts w:ascii="Times New Roman" w:hAnsi="Times New Roman"/>
          <w:sz w:val="24"/>
          <w:szCs w:val="24"/>
        </w:rPr>
        <w:t xml:space="preserve">, S., &amp; Adib, R. (2025). Peran </w:t>
      </w:r>
      <w:proofErr w:type="spellStart"/>
      <w:r w:rsidRPr="005E4A90">
        <w:rPr>
          <w:rFonts w:ascii="Times New Roman" w:hAnsi="Times New Roman"/>
          <w:sz w:val="24"/>
          <w:szCs w:val="24"/>
        </w:rPr>
        <w:t>Koperasi</w:t>
      </w:r>
      <w:proofErr w:type="spellEnd"/>
      <w:r w:rsidRPr="005E4A90">
        <w:rPr>
          <w:rFonts w:ascii="Times New Roman" w:hAnsi="Times New Roman"/>
          <w:sz w:val="24"/>
          <w:szCs w:val="24"/>
        </w:rPr>
        <w:t xml:space="preserve"> </w:t>
      </w:r>
      <w:proofErr w:type="spellStart"/>
      <w:r w:rsidRPr="005E4A90">
        <w:rPr>
          <w:rFonts w:ascii="Times New Roman" w:hAnsi="Times New Roman"/>
          <w:sz w:val="24"/>
          <w:szCs w:val="24"/>
        </w:rPr>
        <w:t>dalam</w:t>
      </w:r>
      <w:proofErr w:type="spellEnd"/>
      <w:r w:rsidRPr="005E4A90">
        <w:rPr>
          <w:rFonts w:ascii="Times New Roman" w:hAnsi="Times New Roman"/>
          <w:sz w:val="24"/>
          <w:szCs w:val="24"/>
        </w:rPr>
        <w:t xml:space="preserve"> </w:t>
      </w:r>
      <w:proofErr w:type="spellStart"/>
      <w:r w:rsidRPr="005E4A90">
        <w:rPr>
          <w:rFonts w:ascii="Times New Roman" w:hAnsi="Times New Roman"/>
          <w:sz w:val="24"/>
          <w:szCs w:val="24"/>
        </w:rPr>
        <w:t>Meningkatkan</w:t>
      </w:r>
      <w:proofErr w:type="spellEnd"/>
      <w:r w:rsidRPr="005E4A90">
        <w:rPr>
          <w:rFonts w:ascii="Times New Roman" w:hAnsi="Times New Roman"/>
          <w:sz w:val="24"/>
          <w:szCs w:val="24"/>
        </w:rPr>
        <w:t xml:space="preserve"> </w:t>
      </w:r>
      <w:proofErr w:type="spellStart"/>
      <w:r w:rsidRPr="005E4A90">
        <w:rPr>
          <w:rFonts w:ascii="Times New Roman" w:hAnsi="Times New Roman"/>
          <w:sz w:val="24"/>
          <w:szCs w:val="24"/>
        </w:rPr>
        <w:t>Kesejahteraan</w:t>
      </w:r>
      <w:proofErr w:type="spellEnd"/>
      <w:r w:rsidRPr="005E4A90">
        <w:rPr>
          <w:rFonts w:ascii="Times New Roman" w:hAnsi="Times New Roman"/>
          <w:sz w:val="24"/>
          <w:szCs w:val="24"/>
        </w:rPr>
        <w:t xml:space="preserve"> Ekonomi </w:t>
      </w:r>
      <w:proofErr w:type="spellStart"/>
      <w:r w:rsidRPr="005E4A90">
        <w:rPr>
          <w:rFonts w:ascii="Times New Roman" w:hAnsi="Times New Roman"/>
          <w:sz w:val="24"/>
          <w:szCs w:val="24"/>
        </w:rPr>
        <w:t>Santri</w:t>
      </w:r>
      <w:proofErr w:type="spellEnd"/>
      <w:r w:rsidRPr="005E4A90">
        <w:rPr>
          <w:rFonts w:ascii="Times New Roman" w:hAnsi="Times New Roman"/>
          <w:sz w:val="24"/>
          <w:szCs w:val="24"/>
        </w:rPr>
        <w:t xml:space="preserve"> dan </w:t>
      </w:r>
      <w:proofErr w:type="spellStart"/>
      <w:r w:rsidRPr="005E4A90">
        <w:rPr>
          <w:rFonts w:ascii="Times New Roman" w:hAnsi="Times New Roman"/>
          <w:sz w:val="24"/>
          <w:szCs w:val="24"/>
        </w:rPr>
        <w:t>Infrastruktur</w:t>
      </w:r>
      <w:proofErr w:type="spellEnd"/>
      <w:r w:rsidRPr="005E4A90">
        <w:rPr>
          <w:rFonts w:ascii="Times New Roman" w:hAnsi="Times New Roman"/>
          <w:sz w:val="24"/>
          <w:szCs w:val="24"/>
        </w:rPr>
        <w:t xml:space="preserve"> di </w:t>
      </w:r>
      <w:proofErr w:type="spellStart"/>
      <w:r w:rsidRPr="005E4A90">
        <w:rPr>
          <w:rFonts w:ascii="Times New Roman" w:hAnsi="Times New Roman"/>
          <w:sz w:val="24"/>
          <w:szCs w:val="24"/>
        </w:rPr>
        <w:t>Pondok</w:t>
      </w:r>
      <w:proofErr w:type="spellEnd"/>
      <w:r w:rsidRPr="005E4A90">
        <w:rPr>
          <w:rFonts w:ascii="Times New Roman" w:hAnsi="Times New Roman"/>
          <w:sz w:val="24"/>
          <w:szCs w:val="24"/>
        </w:rPr>
        <w:t xml:space="preserve"> </w:t>
      </w:r>
      <w:proofErr w:type="spellStart"/>
      <w:r w:rsidRPr="005E4A90">
        <w:rPr>
          <w:rFonts w:ascii="Times New Roman" w:hAnsi="Times New Roman"/>
          <w:sz w:val="24"/>
          <w:szCs w:val="24"/>
        </w:rPr>
        <w:t>Pesantren</w:t>
      </w:r>
      <w:proofErr w:type="spellEnd"/>
      <w:r w:rsidRPr="005E4A90">
        <w:rPr>
          <w:rFonts w:ascii="Times New Roman" w:hAnsi="Times New Roman"/>
          <w:sz w:val="24"/>
          <w:szCs w:val="24"/>
        </w:rPr>
        <w:t xml:space="preserve"> </w:t>
      </w:r>
      <w:proofErr w:type="spellStart"/>
      <w:r w:rsidRPr="005E4A90">
        <w:rPr>
          <w:rFonts w:ascii="Times New Roman" w:hAnsi="Times New Roman"/>
          <w:sz w:val="24"/>
          <w:szCs w:val="24"/>
        </w:rPr>
        <w:t>Miftahul</w:t>
      </w:r>
      <w:proofErr w:type="spellEnd"/>
      <w:r w:rsidRPr="005E4A90">
        <w:rPr>
          <w:rFonts w:ascii="Times New Roman" w:hAnsi="Times New Roman"/>
          <w:sz w:val="24"/>
          <w:szCs w:val="24"/>
        </w:rPr>
        <w:t xml:space="preserve"> </w:t>
      </w:r>
      <w:proofErr w:type="spellStart"/>
      <w:r w:rsidRPr="005E4A90">
        <w:rPr>
          <w:rFonts w:ascii="Times New Roman" w:hAnsi="Times New Roman"/>
          <w:sz w:val="24"/>
          <w:szCs w:val="24"/>
        </w:rPr>
        <w:t>Ulum</w:t>
      </w:r>
      <w:proofErr w:type="spellEnd"/>
      <w:r w:rsidRPr="005E4A90">
        <w:rPr>
          <w:rFonts w:ascii="Times New Roman" w:hAnsi="Times New Roman"/>
          <w:sz w:val="24"/>
          <w:szCs w:val="24"/>
        </w:rPr>
        <w:t xml:space="preserve"> RU IV Putra. </w:t>
      </w:r>
      <w:proofErr w:type="spellStart"/>
      <w:r w:rsidRPr="005E4A90">
        <w:rPr>
          <w:rFonts w:ascii="Times New Roman" w:hAnsi="Times New Roman"/>
          <w:i/>
          <w:iCs/>
          <w:sz w:val="24"/>
          <w:szCs w:val="24"/>
        </w:rPr>
        <w:t>Jurnal</w:t>
      </w:r>
      <w:proofErr w:type="spellEnd"/>
      <w:r w:rsidRPr="005E4A90">
        <w:rPr>
          <w:rFonts w:ascii="Times New Roman" w:hAnsi="Times New Roman"/>
          <w:i/>
          <w:iCs/>
          <w:sz w:val="24"/>
          <w:szCs w:val="24"/>
        </w:rPr>
        <w:t xml:space="preserve"> </w:t>
      </w:r>
      <w:proofErr w:type="spellStart"/>
      <w:r w:rsidRPr="005E4A90">
        <w:rPr>
          <w:rFonts w:ascii="Times New Roman" w:hAnsi="Times New Roman"/>
          <w:i/>
          <w:iCs/>
          <w:sz w:val="24"/>
          <w:szCs w:val="24"/>
        </w:rPr>
        <w:t>Kendali</w:t>
      </w:r>
      <w:proofErr w:type="spellEnd"/>
      <w:r w:rsidRPr="005E4A90">
        <w:rPr>
          <w:rFonts w:ascii="Times New Roman" w:hAnsi="Times New Roman"/>
          <w:i/>
          <w:iCs/>
          <w:sz w:val="24"/>
          <w:szCs w:val="24"/>
        </w:rPr>
        <w:t xml:space="preserve"> </w:t>
      </w:r>
      <w:proofErr w:type="spellStart"/>
      <w:r w:rsidRPr="005E4A90">
        <w:rPr>
          <w:rFonts w:ascii="Times New Roman" w:hAnsi="Times New Roman"/>
          <w:i/>
          <w:iCs/>
          <w:sz w:val="24"/>
          <w:szCs w:val="24"/>
        </w:rPr>
        <w:t>Akuntansi</w:t>
      </w:r>
      <w:proofErr w:type="spellEnd"/>
      <w:r w:rsidRPr="005E4A90">
        <w:rPr>
          <w:rFonts w:ascii="Times New Roman" w:hAnsi="Times New Roman"/>
          <w:sz w:val="24"/>
          <w:szCs w:val="24"/>
        </w:rPr>
        <w:t>, 3(3), 205–216. https://doi.org/10.59581/jka-widyakarya.v3i3.5345</w:t>
      </w:r>
      <w:r>
        <w:rPr>
          <w:rFonts w:ascii="Times New Roman" w:hAnsi="Times New Roman"/>
          <w:sz w:val="24"/>
          <w:szCs w:val="24"/>
        </w:rPr>
        <w:t>.</w:t>
      </w:r>
    </w:p>
    <w:p w14:paraId="3E8B4C2A" w14:textId="77777777" w:rsidR="005E4A90" w:rsidRPr="005E4A90" w:rsidRDefault="005E4A90" w:rsidP="005E4A90">
      <w:pPr>
        <w:spacing w:after="120" w:line="240" w:lineRule="auto"/>
        <w:ind w:left="720" w:hanging="720"/>
        <w:jc w:val="both"/>
        <w:rPr>
          <w:rFonts w:ascii="Times New Roman" w:hAnsi="Times New Roman"/>
          <w:sz w:val="24"/>
          <w:szCs w:val="24"/>
        </w:rPr>
      </w:pPr>
      <w:r w:rsidRPr="005E4A90">
        <w:rPr>
          <w:rFonts w:ascii="Times New Roman" w:hAnsi="Times New Roman"/>
          <w:sz w:val="24"/>
          <w:szCs w:val="24"/>
        </w:rPr>
        <w:t xml:space="preserve">Weygandt, Jerry, J., </w:t>
      </w:r>
      <w:proofErr w:type="spellStart"/>
      <w:r w:rsidRPr="005E4A90">
        <w:rPr>
          <w:rFonts w:ascii="Times New Roman" w:hAnsi="Times New Roman"/>
          <w:sz w:val="24"/>
          <w:szCs w:val="24"/>
        </w:rPr>
        <w:t>Kieso</w:t>
      </w:r>
      <w:proofErr w:type="spellEnd"/>
      <w:r w:rsidRPr="005E4A90">
        <w:rPr>
          <w:rFonts w:ascii="Times New Roman" w:hAnsi="Times New Roman"/>
          <w:sz w:val="24"/>
          <w:szCs w:val="24"/>
        </w:rPr>
        <w:t xml:space="preserve">, D. E., &amp; Warfield, T. D. (2020). </w:t>
      </w:r>
      <w:r w:rsidRPr="005E4A90">
        <w:rPr>
          <w:rFonts w:ascii="Times New Roman" w:hAnsi="Times New Roman"/>
          <w:i/>
          <w:iCs/>
          <w:sz w:val="24"/>
          <w:szCs w:val="24"/>
        </w:rPr>
        <w:t>Intermediate Accounting</w:t>
      </w:r>
      <w:r w:rsidRPr="005E4A90">
        <w:rPr>
          <w:rFonts w:ascii="Times New Roman" w:hAnsi="Times New Roman"/>
          <w:sz w:val="24"/>
          <w:szCs w:val="24"/>
        </w:rPr>
        <w:t>, IFRS Edition, 4th Edition. United States: John Wiley &amp; Sons, Inc.</w:t>
      </w:r>
    </w:p>
    <w:p w14:paraId="2D00F637" w14:textId="00F5BA0F" w:rsidR="005E4A90" w:rsidRDefault="005E4A90" w:rsidP="005E4A90">
      <w:pPr>
        <w:spacing w:after="120" w:line="240" w:lineRule="auto"/>
        <w:ind w:left="720" w:hanging="720"/>
        <w:jc w:val="both"/>
        <w:rPr>
          <w:rFonts w:ascii="Times New Roman" w:hAnsi="Times New Roman"/>
          <w:sz w:val="24"/>
          <w:szCs w:val="24"/>
        </w:rPr>
      </w:pPr>
      <w:proofErr w:type="spellStart"/>
      <w:r w:rsidRPr="005E4A90">
        <w:rPr>
          <w:rFonts w:ascii="Times New Roman" w:hAnsi="Times New Roman"/>
          <w:sz w:val="24"/>
          <w:szCs w:val="24"/>
        </w:rPr>
        <w:t>Wiguna</w:t>
      </w:r>
      <w:proofErr w:type="spellEnd"/>
      <w:r w:rsidRPr="005E4A90">
        <w:rPr>
          <w:rFonts w:ascii="Times New Roman" w:hAnsi="Times New Roman"/>
          <w:sz w:val="24"/>
          <w:szCs w:val="24"/>
        </w:rPr>
        <w:t xml:space="preserve">, &amp; </w:t>
      </w:r>
      <w:proofErr w:type="spellStart"/>
      <w:r w:rsidRPr="005E4A90">
        <w:rPr>
          <w:rFonts w:ascii="Times New Roman" w:hAnsi="Times New Roman"/>
          <w:sz w:val="24"/>
          <w:szCs w:val="24"/>
        </w:rPr>
        <w:t>Dwilingga</w:t>
      </w:r>
      <w:proofErr w:type="spellEnd"/>
      <w:r w:rsidRPr="005E4A90">
        <w:rPr>
          <w:rFonts w:ascii="Times New Roman" w:hAnsi="Times New Roman"/>
          <w:sz w:val="24"/>
          <w:szCs w:val="24"/>
        </w:rPr>
        <w:t xml:space="preserve">. (2020). </w:t>
      </w:r>
      <w:proofErr w:type="spellStart"/>
      <w:r w:rsidRPr="005E4A90">
        <w:rPr>
          <w:rFonts w:ascii="Times New Roman" w:hAnsi="Times New Roman"/>
          <w:sz w:val="24"/>
          <w:szCs w:val="24"/>
        </w:rPr>
        <w:t>Akuntabilitas</w:t>
      </w:r>
      <w:proofErr w:type="spellEnd"/>
      <w:r w:rsidRPr="005E4A90">
        <w:rPr>
          <w:rFonts w:ascii="Times New Roman" w:hAnsi="Times New Roman"/>
          <w:sz w:val="24"/>
          <w:szCs w:val="24"/>
        </w:rPr>
        <w:t xml:space="preserve"> </w:t>
      </w:r>
      <w:proofErr w:type="spellStart"/>
      <w:r w:rsidRPr="005E4A90">
        <w:rPr>
          <w:rFonts w:ascii="Times New Roman" w:hAnsi="Times New Roman"/>
          <w:sz w:val="24"/>
          <w:szCs w:val="24"/>
        </w:rPr>
        <w:t>Pengelolaan</w:t>
      </w:r>
      <w:proofErr w:type="spellEnd"/>
      <w:r w:rsidRPr="005E4A90">
        <w:rPr>
          <w:rFonts w:ascii="Times New Roman" w:hAnsi="Times New Roman"/>
          <w:sz w:val="24"/>
          <w:szCs w:val="24"/>
        </w:rPr>
        <w:t xml:space="preserve"> </w:t>
      </w:r>
      <w:proofErr w:type="spellStart"/>
      <w:r w:rsidRPr="005E4A90">
        <w:rPr>
          <w:rFonts w:ascii="Times New Roman" w:hAnsi="Times New Roman"/>
          <w:sz w:val="24"/>
          <w:szCs w:val="24"/>
        </w:rPr>
        <w:t>Keuangan</w:t>
      </w:r>
      <w:proofErr w:type="spellEnd"/>
      <w:r w:rsidRPr="005E4A90">
        <w:rPr>
          <w:rFonts w:ascii="Times New Roman" w:hAnsi="Times New Roman"/>
          <w:sz w:val="24"/>
          <w:szCs w:val="24"/>
        </w:rPr>
        <w:t xml:space="preserve">. </w:t>
      </w:r>
      <w:proofErr w:type="spellStart"/>
      <w:r w:rsidRPr="005E4A90">
        <w:rPr>
          <w:rFonts w:ascii="Times New Roman" w:hAnsi="Times New Roman"/>
          <w:i/>
          <w:iCs/>
          <w:sz w:val="24"/>
          <w:szCs w:val="24"/>
        </w:rPr>
        <w:t>Jurnal</w:t>
      </w:r>
      <w:proofErr w:type="spellEnd"/>
      <w:r w:rsidRPr="005E4A90">
        <w:rPr>
          <w:rFonts w:ascii="Times New Roman" w:hAnsi="Times New Roman"/>
          <w:i/>
          <w:iCs/>
          <w:sz w:val="24"/>
          <w:szCs w:val="24"/>
        </w:rPr>
        <w:t xml:space="preserve"> </w:t>
      </w:r>
      <w:proofErr w:type="spellStart"/>
      <w:r w:rsidRPr="005E4A90">
        <w:rPr>
          <w:rFonts w:ascii="Times New Roman" w:hAnsi="Times New Roman"/>
          <w:i/>
          <w:iCs/>
          <w:sz w:val="24"/>
          <w:szCs w:val="24"/>
        </w:rPr>
        <w:t>Akuntansi</w:t>
      </w:r>
      <w:proofErr w:type="spellEnd"/>
      <w:r w:rsidRPr="005E4A90">
        <w:rPr>
          <w:rFonts w:ascii="Times New Roman" w:hAnsi="Times New Roman"/>
          <w:i/>
          <w:iCs/>
          <w:sz w:val="24"/>
          <w:szCs w:val="24"/>
        </w:rPr>
        <w:t xml:space="preserve"> Dan </w:t>
      </w:r>
      <w:proofErr w:type="spellStart"/>
      <w:r w:rsidRPr="005E4A90">
        <w:rPr>
          <w:rFonts w:ascii="Times New Roman" w:hAnsi="Times New Roman"/>
          <w:i/>
          <w:iCs/>
          <w:sz w:val="24"/>
          <w:szCs w:val="24"/>
        </w:rPr>
        <w:t>Bisnis</w:t>
      </w:r>
      <w:proofErr w:type="spellEnd"/>
      <w:r w:rsidRPr="005E4A90">
        <w:rPr>
          <w:rFonts w:ascii="Times New Roman" w:hAnsi="Times New Roman"/>
          <w:sz w:val="24"/>
          <w:szCs w:val="24"/>
        </w:rPr>
        <w:t>, 5(2), 167-179.</w:t>
      </w:r>
    </w:p>
    <w:p w14:paraId="279D9F2E" w14:textId="77777777" w:rsidR="00A90858" w:rsidRDefault="00A90858" w:rsidP="00FA7723">
      <w:pPr>
        <w:spacing w:after="120" w:line="240" w:lineRule="auto"/>
        <w:ind w:left="720" w:hanging="720"/>
        <w:jc w:val="both"/>
        <w:rPr>
          <w:rFonts w:ascii="Times New Roman" w:hAnsi="Times New Roman"/>
          <w:sz w:val="24"/>
          <w:szCs w:val="24"/>
        </w:rPr>
      </w:pPr>
    </w:p>
    <w:p w14:paraId="4449FAB0" w14:textId="77777777" w:rsidR="0024213C" w:rsidRDefault="0024213C" w:rsidP="009F4E4A">
      <w:pPr>
        <w:spacing w:after="120" w:line="240" w:lineRule="auto"/>
        <w:ind w:left="720" w:hanging="720"/>
        <w:jc w:val="both"/>
        <w:rPr>
          <w:rFonts w:ascii="Times New Roman" w:hAnsi="Times New Roman"/>
          <w:sz w:val="24"/>
          <w:szCs w:val="24"/>
        </w:rPr>
      </w:pPr>
    </w:p>
    <w:sectPr w:rsidR="0024213C" w:rsidSect="007702AC">
      <w:footerReference w:type="even" r:id="rId8"/>
      <w:footerReference w:type="default" r:id="rId9"/>
      <w:footerReference w:type="first" r:id="rId10"/>
      <w:pgSz w:w="11907" w:h="16839" w:code="9"/>
      <w:pgMar w:top="1699" w:right="1411" w:bottom="1411" w:left="16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E0A85" w14:textId="77777777" w:rsidR="009C1BB2" w:rsidRDefault="009C1BB2" w:rsidP="0066752F">
      <w:pPr>
        <w:spacing w:after="0" w:line="240" w:lineRule="auto"/>
      </w:pPr>
      <w:r>
        <w:separator/>
      </w:r>
    </w:p>
  </w:endnote>
  <w:endnote w:type="continuationSeparator" w:id="0">
    <w:p w14:paraId="5225B5B2" w14:textId="77777777" w:rsidR="009C1BB2" w:rsidRDefault="009C1BB2" w:rsidP="00667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79082" w14:textId="77777777" w:rsidR="001A4122" w:rsidRPr="00EE622A" w:rsidRDefault="006C4797" w:rsidP="00EE622A">
    <w:pPr>
      <w:pStyle w:val="Footer"/>
      <w:pBdr>
        <w:top w:val="thinThickSmallGap" w:sz="24" w:space="1" w:color="622423"/>
      </w:pBdr>
      <w:tabs>
        <w:tab w:val="clear" w:pos="4680"/>
        <w:tab w:val="clear" w:pos="9360"/>
        <w:tab w:val="left" w:pos="0"/>
      </w:tabs>
      <w:spacing w:before="120"/>
      <w:jc w:val="right"/>
      <w:rPr>
        <w:rFonts w:ascii="Times New Roman" w:hAnsi="Times New Roman"/>
        <w:sz w:val="24"/>
        <w:szCs w:val="24"/>
      </w:rPr>
    </w:pPr>
    <w:r w:rsidRPr="00EE622A">
      <w:rPr>
        <w:rFonts w:ascii="Times New Roman" w:hAnsi="Times New Roman"/>
        <w:sz w:val="24"/>
        <w:szCs w:val="24"/>
      </w:rPr>
      <w:fldChar w:fldCharType="begin"/>
    </w:r>
    <w:r w:rsidR="001A4122" w:rsidRPr="007A4756">
      <w:rPr>
        <w:rFonts w:ascii="Times New Roman" w:hAnsi="Times New Roman"/>
        <w:sz w:val="24"/>
        <w:szCs w:val="24"/>
      </w:rPr>
      <w:instrText xml:space="preserve"> PAGE   \* MERGEFORMAT </w:instrText>
    </w:r>
    <w:r w:rsidRPr="00EE622A">
      <w:rPr>
        <w:rFonts w:ascii="Times New Roman" w:hAnsi="Times New Roman"/>
        <w:sz w:val="24"/>
        <w:szCs w:val="24"/>
      </w:rPr>
      <w:fldChar w:fldCharType="separate"/>
    </w:r>
    <w:r w:rsidR="008C7A10">
      <w:rPr>
        <w:rFonts w:ascii="Times New Roman" w:hAnsi="Times New Roman"/>
        <w:noProof/>
        <w:sz w:val="24"/>
        <w:szCs w:val="24"/>
      </w:rPr>
      <w:t>4</w:t>
    </w:r>
    <w:r w:rsidRPr="00EE622A">
      <w:rPr>
        <w:rFonts w:ascii="Times New Roman" w:hAnsi="Times New Roman"/>
        <w:noProof/>
        <w:sz w:val="24"/>
        <w:szCs w:val="24"/>
      </w:rPr>
      <w:fldChar w:fldCharType="end"/>
    </w:r>
    <w:r w:rsidR="001A4122" w:rsidRPr="00EE622A">
      <w:rPr>
        <w:rFonts w:ascii="Times New Roman" w:hAnsi="Times New Roman"/>
        <w:noProof/>
        <w:sz w:val="24"/>
        <w:szCs w:val="24"/>
      </w:rPr>
      <w:t xml:space="preserve">          </w:t>
    </w:r>
    <w:r w:rsidR="007A4756" w:rsidRPr="00EE622A">
      <w:rPr>
        <w:rFonts w:ascii="Times New Roman" w:hAnsi="Times New Roman"/>
        <w:noProof/>
        <w:sz w:val="24"/>
        <w:szCs w:val="24"/>
      </w:rPr>
      <w:t xml:space="preserve">    </w:t>
    </w:r>
    <w:r w:rsidR="001A4122" w:rsidRPr="00EE622A">
      <w:rPr>
        <w:rFonts w:ascii="Times New Roman" w:hAnsi="Times New Roman"/>
        <w:noProof/>
        <w:sz w:val="24"/>
        <w:szCs w:val="24"/>
      </w:rPr>
      <w:t xml:space="preserve">                                    </w:t>
    </w:r>
    <w:r w:rsidR="007A4756" w:rsidRPr="00EE622A">
      <w:rPr>
        <w:rFonts w:ascii="Times New Roman" w:hAnsi="Times New Roman"/>
        <w:noProof/>
        <w:sz w:val="24"/>
        <w:szCs w:val="24"/>
      </w:rPr>
      <w:t xml:space="preserve">               </w:t>
    </w:r>
    <w:r w:rsidR="00C65025" w:rsidRPr="00EE622A">
      <w:rPr>
        <w:rFonts w:ascii="Times New Roman" w:hAnsi="Times New Roman"/>
        <w:noProof/>
        <w:sz w:val="24"/>
        <w:szCs w:val="24"/>
      </w:rPr>
      <w:t xml:space="preserve">        </w:t>
    </w:r>
    <w:r w:rsidR="001A4122" w:rsidRPr="00EE622A">
      <w:rPr>
        <w:rFonts w:ascii="Times New Roman" w:hAnsi="Times New Roman"/>
        <w:noProof/>
        <w:sz w:val="24"/>
        <w:szCs w:val="24"/>
      </w:rPr>
      <w:t xml:space="preserve">        </w:t>
    </w:r>
    <w:r w:rsidR="001A4122" w:rsidRPr="007A4756">
      <w:rPr>
        <w:rFonts w:ascii="Times New Roman" w:hAnsi="Times New Roman"/>
        <w:i/>
        <w:sz w:val="24"/>
        <w:szCs w:val="24"/>
      </w:rPr>
      <w:t xml:space="preserve"> </w:t>
    </w:r>
    <w:r w:rsidR="009F4E4A" w:rsidRPr="009F4E4A">
      <w:rPr>
        <w:rFonts w:ascii="Times New Roman" w:hAnsi="Times New Roman"/>
        <w:i/>
        <w:sz w:val="24"/>
        <w:szCs w:val="24"/>
      </w:rPr>
      <w:t xml:space="preserve">author's name </w:t>
    </w:r>
    <w:r w:rsidR="007A4756">
      <w:rPr>
        <w:rFonts w:ascii="Times New Roman" w:hAnsi="Times New Roman"/>
        <w:i/>
        <w:sz w:val="24"/>
        <w:szCs w:val="24"/>
      </w:rPr>
      <w:t>(</w:t>
    </w:r>
    <w:r w:rsidR="009F4E4A" w:rsidRPr="009F4E4A">
      <w:rPr>
        <w:rFonts w:ascii="Times New Roman" w:hAnsi="Times New Roman"/>
        <w:i/>
        <w:sz w:val="24"/>
        <w:szCs w:val="24"/>
      </w:rPr>
      <w:t>article title</w:t>
    </w:r>
    <w:r w:rsidR="007A4756">
      <w:rPr>
        <w:rFonts w:ascii="Times New Roman" w:hAnsi="Times New Roman"/>
        <w:i/>
        <w:sz w:val="24"/>
        <w:szCs w:val="24"/>
      </w:rPr>
      <w:t>)</w:t>
    </w:r>
  </w:p>
  <w:p w14:paraId="343FB972" w14:textId="77777777" w:rsidR="001A4122" w:rsidRDefault="001A4122" w:rsidP="00EE622A">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A367C" w14:textId="77777777" w:rsidR="005F0B53" w:rsidRPr="00EE622A" w:rsidRDefault="005F0B53" w:rsidP="00EE622A">
    <w:pPr>
      <w:pStyle w:val="Footer"/>
      <w:pBdr>
        <w:top w:val="thinThickSmallGap" w:sz="24" w:space="1" w:color="622423"/>
      </w:pBdr>
      <w:tabs>
        <w:tab w:val="clear" w:pos="4680"/>
        <w:tab w:val="clear" w:pos="9360"/>
        <w:tab w:val="right" w:pos="8797"/>
      </w:tabs>
      <w:spacing w:before="120"/>
      <w:rPr>
        <w:rFonts w:ascii="Times New Roman" w:hAnsi="Times New Roman"/>
        <w:sz w:val="24"/>
        <w:szCs w:val="24"/>
      </w:rPr>
    </w:pPr>
    <w:r w:rsidRPr="007A4756">
      <w:rPr>
        <w:rFonts w:ascii="Times New Roman" w:hAnsi="Times New Roman"/>
        <w:i/>
        <w:sz w:val="24"/>
        <w:szCs w:val="24"/>
      </w:rPr>
      <w:t xml:space="preserve">Media </w:t>
    </w:r>
    <w:proofErr w:type="spellStart"/>
    <w:r w:rsidRPr="007A4756">
      <w:rPr>
        <w:rFonts w:ascii="Times New Roman" w:hAnsi="Times New Roman"/>
        <w:i/>
        <w:sz w:val="24"/>
        <w:szCs w:val="24"/>
      </w:rPr>
      <w:t>Statistika</w:t>
    </w:r>
    <w:proofErr w:type="spellEnd"/>
    <w:r w:rsidRPr="007A4756">
      <w:rPr>
        <w:rFonts w:ascii="Times New Roman" w:hAnsi="Times New Roman"/>
        <w:i/>
        <w:sz w:val="24"/>
        <w:szCs w:val="24"/>
      </w:rPr>
      <w:t xml:space="preserve"> XX(X) XXXX: XX-XX</w:t>
    </w:r>
    <w:r w:rsidRPr="00EE622A">
      <w:rPr>
        <w:rFonts w:ascii="Times New Roman" w:hAnsi="Times New Roman"/>
        <w:sz w:val="24"/>
        <w:szCs w:val="24"/>
      </w:rPr>
      <w:t xml:space="preserve"> </w:t>
    </w:r>
    <w:r w:rsidR="00EE622A" w:rsidRPr="00A35C9C">
      <w:rPr>
        <w:rFonts w:ascii="Times New Roman" w:hAnsi="Times New Roman"/>
        <w:sz w:val="24"/>
        <w:szCs w:val="24"/>
      </w:rPr>
      <w:tab/>
    </w:r>
    <w:r w:rsidR="006C4797" w:rsidRPr="00EE622A">
      <w:rPr>
        <w:rFonts w:ascii="Times New Roman" w:hAnsi="Times New Roman"/>
        <w:sz w:val="24"/>
        <w:szCs w:val="24"/>
      </w:rPr>
      <w:fldChar w:fldCharType="begin"/>
    </w:r>
    <w:r w:rsidRPr="007A4756">
      <w:rPr>
        <w:rFonts w:ascii="Times New Roman" w:hAnsi="Times New Roman"/>
        <w:sz w:val="24"/>
        <w:szCs w:val="24"/>
      </w:rPr>
      <w:instrText xml:space="preserve"> PAGE   \* MERGEFORMAT </w:instrText>
    </w:r>
    <w:r w:rsidR="006C4797" w:rsidRPr="00EE622A">
      <w:rPr>
        <w:rFonts w:ascii="Times New Roman" w:hAnsi="Times New Roman"/>
        <w:sz w:val="24"/>
        <w:szCs w:val="24"/>
      </w:rPr>
      <w:fldChar w:fldCharType="separate"/>
    </w:r>
    <w:r w:rsidR="008C7A10">
      <w:rPr>
        <w:rFonts w:ascii="Times New Roman" w:hAnsi="Times New Roman"/>
        <w:noProof/>
        <w:sz w:val="24"/>
        <w:szCs w:val="24"/>
      </w:rPr>
      <w:t>3</w:t>
    </w:r>
    <w:r w:rsidR="006C4797" w:rsidRPr="00EE622A">
      <w:rPr>
        <w:rFonts w:ascii="Times New Roman" w:hAnsi="Times New Roman"/>
        <w:noProof/>
        <w:sz w:val="24"/>
        <w:szCs w:val="24"/>
      </w:rPr>
      <w:fldChar w:fldCharType="end"/>
    </w:r>
  </w:p>
  <w:p w14:paraId="6E78F415" w14:textId="77777777" w:rsidR="00DE6A8F" w:rsidRPr="0066752F" w:rsidRDefault="00DE6A8F">
    <w:pPr>
      <w:pStyle w:val="Foo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566C1" w14:textId="77777777" w:rsidR="00466522" w:rsidRPr="00466522" w:rsidRDefault="00466522" w:rsidP="00466522">
    <w:pPr>
      <w:pStyle w:val="Footer"/>
      <w:pBdr>
        <w:top w:val="thinThickSmallGap" w:sz="24" w:space="1" w:color="622423"/>
      </w:pBdr>
      <w:tabs>
        <w:tab w:val="clear" w:pos="4680"/>
        <w:tab w:val="clear" w:pos="9360"/>
        <w:tab w:val="right" w:pos="8797"/>
      </w:tabs>
      <w:rPr>
        <w:rFonts w:ascii="Times New Roman" w:hAnsi="Times New Roman"/>
        <w:b/>
        <w:bCs/>
        <w:i/>
        <w:sz w:val="18"/>
        <w:szCs w:val="18"/>
      </w:rPr>
    </w:pPr>
    <w:r w:rsidRPr="00466522">
      <w:rPr>
        <w:rFonts w:ascii="Times New Roman" w:hAnsi="Times New Roman"/>
        <w:b/>
        <w:bCs/>
        <w:i/>
        <w:sz w:val="18"/>
        <w:szCs w:val="18"/>
      </w:rPr>
      <w:t xml:space="preserve">IJSED: International of Sharia Economics and Development </w:t>
    </w:r>
  </w:p>
  <w:p w14:paraId="1233E7F6" w14:textId="77777777" w:rsidR="00466522" w:rsidRPr="00466522" w:rsidRDefault="00466522" w:rsidP="00466522">
    <w:pPr>
      <w:pStyle w:val="Footer"/>
      <w:pBdr>
        <w:top w:val="thinThickSmallGap" w:sz="24" w:space="1" w:color="622423"/>
      </w:pBdr>
      <w:tabs>
        <w:tab w:val="clear" w:pos="4680"/>
        <w:tab w:val="clear" w:pos="9360"/>
        <w:tab w:val="right" w:pos="8797"/>
      </w:tabs>
      <w:rPr>
        <w:rFonts w:ascii="Times New Roman" w:hAnsi="Times New Roman"/>
        <w:b/>
        <w:bCs/>
        <w:i/>
        <w:sz w:val="18"/>
        <w:szCs w:val="18"/>
      </w:rPr>
    </w:pPr>
    <w:bookmarkStart w:id="0" w:name="_heading=h.hoewjbhnk7sb" w:colFirst="0" w:colLast="0"/>
    <w:bookmarkEnd w:id="0"/>
    <w:r w:rsidRPr="00466522">
      <w:rPr>
        <w:rFonts w:ascii="Times New Roman" w:hAnsi="Times New Roman"/>
        <w:b/>
        <w:bCs/>
        <w:i/>
        <w:sz w:val="18"/>
        <w:szCs w:val="18"/>
      </w:rPr>
      <w:t>Volume 10 (3), 2025: 5- xx</w:t>
    </w:r>
  </w:p>
  <w:p w14:paraId="6C5686C8" w14:textId="77777777" w:rsidR="00466522" w:rsidRPr="00466522" w:rsidRDefault="00466522" w:rsidP="00466522">
    <w:pPr>
      <w:pStyle w:val="Footer"/>
      <w:pBdr>
        <w:top w:val="thinThickSmallGap" w:sz="24" w:space="1" w:color="622423"/>
      </w:pBdr>
      <w:tabs>
        <w:tab w:val="clear" w:pos="4680"/>
        <w:tab w:val="clear" w:pos="9360"/>
        <w:tab w:val="right" w:pos="8797"/>
      </w:tabs>
      <w:rPr>
        <w:rFonts w:ascii="Times New Roman" w:hAnsi="Times New Roman"/>
        <w:b/>
        <w:bCs/>
        <w:i/>
        <w:sz w:val="18"/>
        <w:szCs w:val="18"/>
      </w:rPr>
    </w:pPr>
    <w:bookmarkStart w:id="1" w:name="_heading=h.8czcd8cet18u" w:colFirst="0" w:colLast="0"/>
    <w:bookmarkEnd w:id="1"/>
    <w:r w:rsidRPr="00466522">
      <w:rPr>
        <w:rFonts w:ascii="Times New Roman" w:hAnsi="Times New Roman"/>
        <w:b/>
        <w:bCs/>
        <w:i/>
        <w:sz w:val="18"/>
        <w:szCs w:val="18"/>
      </w:rPr>
      <w:t>P-ISSN: 3000-8000; E-ISSN: 4486-7567</w:t>
    </w:r>
  </w:p>
  <w:p w14:paraId="4E7D8C42" w14:textId="77777777" w:rsidR="001A4122" w:rsidRPr="00EE622A" w:rsidRDefault="00EE622A" w:rsidP="00496FD8">
    <w:pPr>
      <w:pStyle w:val="Footer"/>
      <w:pBdr>
        <w:top w:val="thinThickSmallGap" w:sz="24" w:space="1" w:color="622423"/>
      </w:pBdr>
      <w:tabs>
        <w:tab w:val="clear" w:pos="4680"/>
        <w:tab w:val="clear" w:pos="9360"/>
        <w:tab w:val="right" w:pos="8797"/>
      </w:tabs>
      <w:rPr>
        <w:rFonts w:ascii="Times New Roman" w:hAnsi="Times New Roman"/>
        <w:sz w:val="24"/>
        <w:szCs w:val="24"/>
      </w:rPr>
    </w:pPr>
    <w:r w:rsidRPr="00A35C9C">
      <w:rPr>
        <w:rFonts w:ascii="Times New Roman" w:hAnsi="Times New Roman"/>
        <w:sz w:val="24"/>
        <w:szCs w:val="24"/>
      </w:rPr>
      <w:tab/>
    </w:r>
    <w:r w:rsidR="006C4797" w:rsidRPr="00EE622A">
      <w:rPr>
        <w:rFonts w:ascii="Times New Roman" w:hAnsi="Times New Roman"/>
        <w:sz w:val="24"/>
        <w:szCs w:val="24"/>
      </w:rPr>
      <w:fldChar w:fldCharType="begin"/>
    </w:r>
    <w:r w:rsidR="001A4122" w:rsidRPr="001A4122">
      <w:rPr>
        <w:rFonts w:ascii="Times New Roman" w:hAnsi="Times New Roman"/>
        <w:sz w:val="24"/>
        <w:szCs w:val="24"/>
      </w:rPr>
      <w:instrText xml:space="preserve"> PAGE   \* MERGEFORMAT </w:instrText>
    </w:r>
    <w:r w:rsidR="006C4797" w:rsidRPr="00EE622A">
      <w:rPr>
        <w:rFonts w:ascii="Times New Roman" w:hAnsi="Times New Roman"/>
        <w:sz w:val="24"/>
        <w:szCs w:val="24"/>
      </w:rPr>
      <w:fldChar w:fldCharType="separate"/>
    </w:r>
    <w:r w:rsidR="008C7A10">
      <w:rPr>
        <w:rFonts w:ascii="Times New Roman" w:hAnsi="Times New Roman"/>
        <w:noProof/>
        <w:sz w:val="24"/>
        <w:szCs w:val="24"/>
      </w:rPr>
      <w:t>1</w:t>
    </w:r>
    <w:r w:rsidR="006C4797" w:rsidRPr="00EE622A">
      <w:rPr>
        <w:rFonts w:ascii="Times New Roman" w:hAnsi="Times New Roman"/>
        <w:noProof/>
        <w:sz w:val="24"/>
        <w:szCs w:val="24"/>
      </w:rPr>
      <w:fldChar w:fldCharType="end"/>
    </w:r>
  </w:p>
  <w:p w14:paraId="417AA581" w14:textId="77777777" w:rsidR="00ED2EA8" w:rsidRPr="00ED2EA8" w:rsidRDefault="00ED2EA8" w:rsidP="001A4122">
    <w:pPr>
      <w:pStyle w:val="Footer"/>
      <w:spacing w:before="120"/>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06B40" w14:textId="77777777" w:rsidR="009C1BB2" w:rsidRDefault="009C1BB2" w:rsidP="0066752F">
      <w:pPr>
        <w:spacing w:after="0" w:line="240" w:lineRule="auto"/>
      </w:pPr>
      <w:r>
        <w:separator/>
      </w:r>
    </w:p>
  </w:footnote>
  <w:footnote w:type="continuationSeparator" w:id="0">
    <w:p w14:paraId="3EE93A1B" w14:textId="77777777" w:rsidR="009C1BB2" w:rsidRDefault="009C1BB2" w:rsidP="006675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EAF"/>
    <w:multiLevelType w:val="hybridMultilevel"/>
    <w:tmpl w:val="C21074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D0194"/>
    <w:multiLevelType w:val="hybridMultilevel"/>
    <w:tmpl w:val="E626E892"/>
    <w:lvl w:ilvl="0" w:tplc="AAAABD1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517FD"/>
    <w:multiLevelType w:val="hybridMultilevel"/>
    <w:tmpl w:val="EE2487B4"/>
    <w:lvl w:ilvl="0" w:tplc="B5E0E210">
      <w:start w:val="1"/>
      <w:numFmt w:val="decimal"/>
      <w:lvlText w:val="%1."/>
      <w:lvlJc w:val="left"/>
      <w:pPr>
        <w:ind w:left="12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1C275A"/>
    <w:multiLevelType w:val="hybridMultilevel"/>
    <w:tmpl w:val="86C0DA0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DF3591"/>
    <w:multiLevelType w:val="hybridMultilevel"/>
    <w:tmpl w:val="C318E2FE"/>
    <w:lvl w:ilvl="0" w:tplc="DE2E1B18">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CB4BF0"/>
    <w:multiLevelType w:val="hybridMultilevel"/>
    <w:tmpl w:val="44F037D8"/>
    <w:lvl w:ilvl="0" w:tplc="EAAE98E2">
      <w:start w:val="1"/>
      <w:numFmt w:val="lowerLetter"/>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99688A"/>
    <w:multiLevelType w:val="multilevel"/>
    <w:tmpl w:val="7576A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B54E0F"/>
    <w:multiLevelType w:val="hybridMultilevel"/>
    <w:tmpl w:val="6882DC5C"/>
    <w:lvl w:ilvl="0" w:tplc="2E7A6F1C">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066EE5"/>
    <w:multiLevelType w:val="hybridMultilevel"/>
    <w:tmpl w:val="2D7676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A2323A"/>
    <w:multiLevelType w:val="hybridMultilevel"/>
    <w:tmpl w:val="B142B8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B8787C"/>
    <w:multiLevelType w:val="multilevel"/>
    <w:tmpl w:val="A39622D6"/>
    <w:lvl w:ilvl="0">
      <w:start w:val="1"/>
      <w:numFmt w:val="decimal"/>
      <w:lvlText w:val="%1."/>
      <w:lvlJc w:val="left"/>
      <w:pPr>
        <w:ind w:left="720" w:hanging="360"/>
      </w:pPr>
      <w:rPr>
        <w:rFonts w:hint="default"/>
      </w:rPr>
    </w:lvl>
    <w:lvl w:ilvl="1">
      <w:start w:val="1"/>
      <w:numFmt w:val="decimal"/>
      <w:lvlText w:val="2.%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A4079B4"/>
    <w:multiLevelType w:val="multilevel"/>
    <w:tmpl w:val="4524FA1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157798"/>
    <w:multiLevelType w:val="hybridMultilevel"/>
    <w:tmpl w:val="AB4AC534"/>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 w15:restartNumberingAfterBreak="0">
    <w:nsid w:val="43F71A93"/>
    <w:multiLevelType w:val="hybridMultilevel"/>
    <w:tmpl w:val="C7B059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5DA72A0"/>
    <w:multiLevelType w:val="multilevel"/>
    <w:tmpl w:val="85FA6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8B4BBB"/>
    <w:multiLevelType w:val="multilevel"/>
    <w:tmpl w:val="019071B8"/>
    <w:lvl w:ilvl="0">
      <w:start w:val="2"/>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6" w15:restartNumberingAfterBreak="0">
    <w:nsid w:val="666C1213"/>
    <w:multiLevelType w:val="multilevel"/>
    <w:tmpl w:val="1D5EF0E4"/>
    <w:lvl w:ilvl="0">
      <w:start w:val="1"/>
      <w:numFmt w:val="decimal"/>
      <w:lvlText w:val="%1."/>
      <w:lvlJc w:val="left"/>
      <w:pPr>
        <w:ind w:left="720" w:hanging="360"/>
      </w:pPr>
      <w:rPr>
        <w:rFonts w:hint="default"/>
      </w:rPr>
    </w:lvl>
    <w:lvl w:ilvl="1">
      <w:start w:val="1"/>
      <w:numFmt w:val="decimal"/>
      <w:lvlText w:val="3.%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FD055DE"/>
    <w:multiLevelType w:val="hybridMultilevel"/>
    <w:tmpl w:val="A3928E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FDB751D"/>
    <w:multiLevelType w:val="multilevel"/>
    <w:tmpl w:val="767CE0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752533E"/>
    <w:multiLevelType w:val="hybridMultilevel"/>
    <w:tmpl w:val="B24210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6F4843"/>
    <w:multiLevelType w:val="hybridMultilevel"/>
    <w:tmpl w:val="4A0287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71546F"/>
    <w:multiLevelType w:val="multilevel"/>
    <w:tmpl w:val="EA2C52C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4868079">
    <w:abstractNumId w:val="18"/>
  </w:num>
  <w:num w:numId="2" w16cid:durableId="2108310891">
    <w:abstractNumId w:val="0"/>
  </w:num>
  <w:num w:numId="3" w16cid:durableId="1882209837">
    <w:abstractNumId w:val="2"/>
  </w:num>
  <w:num w:numId="4" w16cid:durableId="561450871">
    <w:abstractNumId w:val="1"/>
  </w:num>
  <w:num w:numId="5" w16cid:durableId="1251352552">
    <w:abstractNumId w:val="5"/>
  </w:num>
  <w:num w:numId="6" w16cid:durableId="1970043905">
    <w:abstractNumId w:val="19"/>
  </w:num>
  <w:num w:numId="7" w16cid:durableId="1033337195">
    <w:abstractNumId w:val="7"/>
  </w:num>
  <w:num w:numId="8" w16cid:durableId="317534647">
    <w:abstractNumId w:val="20"/>
  </w:num>
  <w:num w:numId="9" w16cid:durableId="1640108408">
    <w:abstractNumId w:val="10"/>
  </w:num>
  <w:num w:numId="10" w16cid:durableId="1474448373">
    <w:abstractNumId w:val="16"/>
  </w:num>
  <w:num w:numId="11" w16cid:durableId="1102601889">
    <w:abstractNumId w:val="3"/>
  </w:num>
  <w:num w:numId="12" w16cid:durableId="212230647">
    <w:abstractNumId w:val="11"/>
  </w:num>
  <w:num w:numId="13" w16cid:durableId="656113492">
    <w:abstractNumId w:val="17"/>
  </w:num>
  <w:num w:numId="14" w16cid:durableId="1343824109">
    <w:abstractNumId w:val="13"/>
  </w:num>
  <w:num w:numId="15" w16cid:durableId="692193621">
    <w:abstractNumId w:val="9"/>
  </w:num>
  <w:num w:numId="16" w16cid:durableId="750780446">
    <w:abstractNumId w:val="8"/>
  </w:num>
  <w:num w:numId="17" w16cid:durableId="1312251690">
    <w:abstractNumId w:val="4"/>
  </w:num>
  <w:num w:numId="18" w16cid:durableId="995230755">
    <w:abstractNumId w:val="21"/>
  </w:num>
  <w:num w:numId="19" w16cid:durableId="2146577296">
    <w:abstractNumId w:val="15"/>
  </w:num>
  <w:num w:numId="20" w16cid:durableId="1910573933">
    <w:abstractNumId w:val="6"/>
  </w:num>
  <w:num w:numId="21" w16cid:durableId="2040743611">
    <w:abstractNumId w:val="14"/>
  </w:num>
  <w:num w:numId="22" w16cid:durableId="11615794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c1sjA1NDIytzQzNTZV0lEKTi0uzszPAykwqgUA3TVrsiwAAAA="/>
  </w:docVars>
  <w:rsids>
    <w:rsidRoot w:val="00496FD8"/>
    <w:rsid w:val="00005224"/>
    <w:rsid w:val="00017412"/>
    <w:rsid w:val="000176B8"/>
    <w:rsid w:val="00021357"/>
    <w:rsid w:val="00031890"/>
    <w:rsid w:val="00043109"/>
    <w:rsid w:val="00043AF0"/>
    <w:rsid w:val="00046A9B"/>
    <w:rsid w:val="00047A2D"/>
    <w:rsid w:val="00055BFC"/>
    <w:rsid w:val="00060CEE"/>
    <w:rsid w:val="000A00D4"/>
    <w:rsid w:val="000A0FCE"/>
    <w:rsid w:val="000B7B0E"/>
    <w:rsid w:val="000D219E"/>
    <w:rsid w:val="000F0155"/>
    <w:rsid w:val="00127088"/>
    <w:rsid w:val="00137BE0"/>
    <w:rsid w:val="00142E01"/>
    <w:rsid w:val="001851E5"/>
    <w:rsid w:val="001942C3"/>
    <w:rsid w:val="001A4122"/>
    <w:rsid w:val="001D1278"/>
    <w:rsid w:val="001D7642"/>
    <w:rsid w:val="001E4317"/>
    <w:rsid w:val="001E49D2"/>
    <w:rsid w:val="002062EE"/>
    <w:rsid w:val="00223215"/>
    <w:rsid w:val="0023548D"/>
    <w:rsid w:val="0024213C"/>
    <w:rsid w:val="00251D24"/>
    <w:rsid w:val="00285CCB"/>
    <w:rsid w:val="00294A75"/>
    <w:rsid w:val="00295D93"/>
    <w:rsid w:val="002965F4"/>
    <w:rsid w:val="002B4D5A"/>
    <w:rsid w:val="002C7908"/>
    <w:rsid w:val="002D27C0"/>
    <w:rsid w:val="002F61F9"/>
    <w:rsid w:val="00302616"/>
    <w:rsid w:val="003118B1"/>
    <w:rsid w:val="00346AD4"/>
    <w:rsid w:val="00377592"/>
    <w:rsid w:val="003866A7"/>
    <w:rsid w:val="00393EBD"/>
    <w:rsid w:val="003C2582"/>
    <w:rsid w:val="003F225D"/>
    <w:rsid w:val="00427C41"/>
    <w:rsid w:val="004639DA"/>
    <w:rsid w:val="0046498D"/>
    <w:rsid w:val="00466522"/>
    <w:rsid w:val="004757C7"/>
    <w:rsid w:val="004759A3"/>
    <w:rsid w:val="00490B42"/>
    <w:rsid w:val="00496E60"/>
    <w:rsid w:val="00496FD8"/>
    <w:rsid w:val="004A42DC"/>
    <w:rsid w:val="004D4E83"/>
    <w:rsid w:val="004E3B9F"/>
    <w:rsid w:val="004F2D54"/>
    <w:rsid w:val="0050102E"/>
    <w:rsid w:val="00524506"/>
    <w:rsid w:val="00543F46"/>
    <w:rsid w:val="0054702E"/>
    <w:rsid w:val="005520B0"/>
    <w:rsid w:val="005543C3"/>
    <w:rsid w:val="00592E75"/>
    <w:rsid w:val="005B7835"/>
    <w:rsid w:val="005C0017"/>
    <w:rsid w:val="005C7435"/>
    <w:rsid w:val="005D39AC"/>
    <w:rsid w:val="005E4A90"/>
    <w:rsid w:val="005F0B53"/>
    <w:rsid w:val="006327F1"/>
    <w:rsid w:val="00634451"/>
    <w:rsid w:val="0066752F"/>
    <w:rsid w:val="00693A19"/>
    <w:rsid w:val="006B6C35"/>
    <w:rsid w:val="006C103D"/>
    <w:rsid w:val="006C1839"/>
    <w:rsid w:val="006C4797"/>
    <w:rsid w:val="006D704A"/>
    <w:rsid w:val="006F2EE7"/>
    <w:rsid w:val="00706B54"/>
    <w:rsid w:val="00723754"/>
    <w:rsid w:val="00762C23"/>
    <w:rsid w:val="007702AC"/>
    <w:rsid w:val="00782BF9"/>
    <w:rsid w:val="0078381D"/>
    <w:rsid w:val="00785013"/>
    <w:rsid w:val="00792790"/>
    <w:rsid w:val="007969B9"/>
    <w:rsid w:val="007A1A8E"/>
    <w:rsid w:val="007A4756"/>
    <w:rsid w:val="007A5232"/>
    <w:rsid w:val="007F6DC5"/>
    <w:rsid w:val="008007B9"/>
    <w:rsid w:val="00811D37"/>
    <w:rsid w:val="00814B0F"/>
    <w:rsid w:val="00815C40"/>
    <w:rsid w:val="00834E0B"/>
    <w:rsid w:val="008433F6"/>
    <w:rsid w:val="00846D59"/>
    <w:rsid w:val="00854858"/>
    <w:rsid w:val="00862E30"/>
    <w:rsid w:val="008806D1"/>
    <w:rsid w:val="00884646"/>
    <w:rsid w:val="008A6DC7"/>
    <w:rsid w:val="008B6913"/>
    <w:rsid w:val="008C639D"/>
    <w:rsid w:val="008C7768"/>
    <w:rsid w:val="008C7A10"/>
    <w:rsid w:val="008F332A"/>
    <w:rsid w:val="009107DC"/>
    <w:rsid w:val="00926F50"/>
    <w:rsid w:val="0093268D"/>
    <w:rsid w:val="00942657"/>
    <w:rsid w:val="009531D8"/>
    <w:rsid w:val="00961975"/>
    <w:rsid w:val="0097045A"/>
    <w:rsid w:val="00980179"/>
    <w:rsid w:val="00992A97"/>
    <w:rsid w:val="009A51A5"/>
    <w:rsid w:val="009B3260"/>
    <w:rsid w:val="009C1BB2"/>
    <w:rsid w:val="009D3BDF"/>
    <w:rsid w:val="009D45F0"/>
    <w:rsid w:val="009F4E4A"/>
    <w:rsid w:val="009F7280"/>
    <w:rsid w:val="00A033A0"/>
    <w:rsid w:val="00A303E9"/>
    <w:rsid w:val="00A35C9C"/>
    <w:rsid w:val="00A375CC"/>
    <w:rsid w:val="00A54E20"/>
    <w:rsid w:val="00A57188"/>
    <w:rsid w:val="00A90858"/>
    <w:rsid w:val="00A91E2C"/>
    <w:rsid w:val="00AD7C57"/>
    <w:rsid w:val="00AD7EE7"/>
    <w:rsid w:val="00B12302"/>
    <w:rsid w:val="00B550AA"/>
    <w:rsid w:val="00B8628B"/>
    <w:rsid w:val="00BB4AF3"/>
    <w:rsid w:val="00BE4077"/>
    <w:rsid w:val="00C04595"/>
    <w:rsid w:val="00C31DF8"/>
    <w:rsid w:val="00C40EDA"/>
    <w:rsid w:val="00C452F2"/>
    <w:rsid w:val="00C65025"/>
    <w:rsid w:val="00C83E25"/>
    <w:rsid w:val="00C8639F"/>
    <w:rsid w:val="00CB45D8"/>
    <w:rsid w:val="00CE740A"/>
    <w:rsid w:val="00CF3CA1"/>
    <w:rsid w:val="00D01911"/>
    <w:rsid w:val="00D224DA"/>
    <w:rsid w:val="00D25D34"/>
    <w:rsid w:val="00D35050"/>
    <w:rsid w:val="00D437E5"/>
    <w:rsid w:val="00D473A1"/>
    <w:rsid w:val="00D5687E"/>
    <w:rsid w:val="00D70382"/>
    <w:rsid w:val="00D7776B"/>
    <w:rsid w:val="00DA1103"/>
    <w:rsid w:val="00DA1A38"/>
    <w:rsid w:val="00DB31FA"/>
    <w:rsid w:val="00DC4FD7"/>
    <w:rsid w:val="00DC69A3"/>
    <w:rsid w:val="00DD17A1"/>
    <w:rsid w:val="00DE410F"/>
    <w:rsid w:val="00DE6A8F"/>
    <w:rsid w:val="00E03F9B"/>
    <w:rsid w:val="00E53D24"/>
    <w:rsid w:val="00E61CC6"/>
    <w:rsid w:val="00E704AB"/>
    <w:rsid w:val="00E97E6C"/>
    <w:rsid w:val="00EA600B"/>
    <w:rsid w:val="00ED1904"/>
    <w:rsid w:val="00ED2EA8"/>
    <w:rsid w:val="00EE2299"/>
    <w:rsid w:val="00EE622A"/>
    <w:rsid w:val="00EF35B7"/>
    <w:rsid w:val="00EF409E"/>
    <w:rsid w:val="00EF456F"/>
    <w:rsid w:val="00F33B03"/>
    <w:rsid w:val="00F37B4F"/>
    <w:rsid w:val="00F544E9"/>
    <w:rsid w:val="00F60FCF"/>
    <w:rsid w:val="00F617EC"/>
    <w:rsid w:val="00F636A3"/>
    <w:rsid w:val="00F802D1"/>
    <w:rsid w:val="00FA7723"/>
    <w:rsid w:val="00FB1125"/>
    <w:rsid w:val="00FB221B"/>
    <w:rsid w:val="00FB76FC"/>
    <w:rsid w:val="00FC045B"/>
    <w:rsid w:val="00FD38AE"/>
    <w:rsid w:val="00FF081B"/>
    <w:rsid w:val="00FF6F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F236E4"/>
  <w15:docId w15:val="{1D3E7EBC-F191-4A50-B8B5-EE9CD7BD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858"/>
    <w:pPr>
      <w:spacing w:after="200" w:line="276"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F3CA1"/>
    <w:pPr>
      <w:ind w:left="720"/>
      <w:contextualSpacing/>
    </w:pPr>
  </w:style>
  <w:style w:type="character" w:styleId="Hyperlink">
    <w:name w:val="Hyperlink"/>
    <w:uiPriority w:val="99"/>
    <w:unhideWhenUsed/>
    <w:rsid w:val="00884646"/>
    <w:rPr>
      <w:color w:val="0000FF"/>
      <w:u w:val="single"/>
    </w:rPr>
  </w:style>
  <w:style w:type="paragraph" w:styleId="BalloonText">
    <w:name w:val="Balloon Text"/>
    <w:basedOn w:val="Normal"/>
    <w:link w:val="BalloonTextChar"/>
    <w:uiPriority w:val="99"/>
    <w:semiHidden/>
    <w:unhideWhenUsed/>
    <w:rsid w:val="0000522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5224"/>
    <w:rPr>
      <w:rFonts w:ascii="Tahoma" w:hAnsi="Tahoma" w:cs="Tahoma"/>
      <w:sz w:val="16"/>
      <w:szCs w:val="16"/>
    </w:rPr>
  </w:style>
  <w:style w:type="table" w:styleId="TableGrid">
    <w:name w:val="Table Grid"/>
    <w:basedOn w:val="TableNormal"/>
    <w:uiPriority w:val="59"/>
    <w:rsid w:val="00142E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675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52F"/>
  </w:style>
  <w:style w:type="paragraph" w:styleId="Footer">
    <w:name w:val="footer"/>
    <w:basedOn w:val="Normal"/>
    <w:link w:val="FooterChar"/>
    <w:uiPriority w:val="99"/>
    <w:unhideWhenUsed/>
    <w:rsid w:val="006675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52F"/>
  </w:style>
  <w:style w:type="character" w:customStyle="1" w:styleId="ListParagraphChar">
    <w:name w:val="List Paragraph Char"/>
    <w:basedOn w:val="DefaultParagraphFont"/>
    <w:link w:val="ListParagraph"/>
    <w:uiPriority w:val="34"/>
    <w:rsid w:val="00F802D1"/>
  </w:style>
  <w:style w:type="paragraph" w:customStyle="1" w:styleId="Default">
    <w:name w:val="Default"/>
    <w:link w:val="DefaultChar"/>
    <w:rsid w:val="00DA1103"/>
    <w:pPr>
      <w:autoSpaceDE w:val="0"/>
      <w:autoSpaceDN w:val="0"/>
      <w:adjustRightInd w:val="0"/>
      <w:spacing w:before="240"/>
      <w:jc w:val="center"/>
    </w:pPr>
    <w:rPr>
      <w:rFonts w:ascii="Arial" w:hAnsi="Arial" w:cs="Arial"/>
      <w:color w:val="000000"/>
      <w:sz w:val="24"/>
      <w:szCs w:val="24"/>
      <w:lang w:val="en-US" w:eastAsia="en-US"/>
    </w:rPr>
  </w:style>
  <w:style w:type="character" w:customStyle="1" w:styleId="DefaultChar">
    <w:name w:val="Default Char"/>
    <w:link w:val="Default"/>
    <w:rsid w:val="00DA1103"/>
    <w:rPr>
      <w:rFonts w:ascii="Arial" w:hAnsi="Arial" w:cs="Arial"/>
      <w:color w:val="000000"/>
      <w:sz w:val="24"/>
      <w:szCs w:val="24"/>
    </w:rPr>
  </w:style>
  <w:style w:type="character" w:customStyle="1" w:styleId="hps">
    <w:name w:val="hps"/>
    <w:basedOn w:val="DefaultParagraphFont"/>
    <w:rsid w:val="004E3B9F"/>
  </w:style>
  <w:style w:type="character" w:styleId="HTMLCite">
    <w:name w:val="HTML Cite"/>
    <w:uiPriority w:val="99"/>
    <w:semiHidden/>
    <w:unhideWhenUsed/>
    <w:rsid w:val="00AD7C57"/>
    <w:rPr>
      <w:i/>
      <w:iCs/>
    </w:rPr>
  </w:style>
  <w:style w:type="paragraph" w:styleId="NoSpacing">
    <w:name w:val="No Spacing"/>
    <w:link w:val="NoSpacingChar"/>
    <w:uiPriority w:val="1"/>
    <w:qFormat/>
    <w:rsid w:val="001A4122"/>
    <w:rPr>
      <w:sz w:val="22"/>
      <w:szCs w:val="22"/>
      <w:lang w:val="en-US" w:eastAsia="ja-JP"/>
    </w:rPr>
  </w:style>
  <w:style w:type="character" w:customStyle="1" w:styleId="NoSpacingChar">
    <w:name w:val="No Spacing Char"/>
    <w:link w:val="NoSpacing"/>
    <w:uiPriority w:val="1"/>
    <w:rsid w:val="001A4122"/>
    <w:rPr>
      <w:lang w:eastAsia="ja-JP"/>
    </w:rPr>
  </w:style>
  <w:style w:type="character" w:customStyle="1" w:styleId="judul2Char">
    <w:name w:val="judul 2 Char"/>
    <w:basedOn w:val="DefaultParagraphFont"/>
    <w:link w:val="judul2"/>
    <w:locked/>
    <w:rsid w:val="00CE740A"/>
    <w:rPr>
      <w:rFonts w:asciiTheme="majorBidi" w:eastAsiaTheme="minorEastAsia" w:hAnsiTheme="majorBidi" w:cstheme="majorBidi"/>
      <w:b/>
      <w:bCs/>
      <w:sz w:val="24"/>
      <w:szCs w:val="24"/>
    </w:rPr>
  </w:style>
  <w:style w:type="paragraph" w:customStyle="1" w:styleId="judul2">
    <w:name w:val="judul 2"/>
    <w:basedOn w:val="Normal"/>
    <w:link w:val="judul2Char"/>
    <w:qFormat/>
    <w:rsid w:val="00CE740A"/>
    <w:pPr>
      <w:ind w:left="720" w:hanging="360"/>
    </w:pPr>
    <w:rPr>
      <w:rFonts w:asciiTheme="majorBidi" w:eastAsiaTheme="minorEastAsia" w:hAnsiTheme="majorBidi" w:cstheme="majorBidi"/>
      <w:b/>
      <w:bCs/>
      <w:sz w:val="24"/>
      <w:szCs w:val="24"/>
      <w:lang w:val="id-ID" w:eastAsia="id-ID"/>
    </w:rPr>
  </w:style>
  <w:style w:type="table" w:customStyle="1" w:styleId="TableGrid1">
    <w:name w:val="Table Grid1"/>
    <w:basedOn w:val="TableNormal"/>
    <w:next w:val="TableGrid"/>
    <w:uiPriority w:val="59"/>
    <w:rsid w:val="005B7835"/>
    <w:rPr>
      <w:rFonts w:eastAsia="Calibri" w:cs="Cordia New"/>
      <w:lang w:val="en-US" w:eastAsia="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82BF9"/>
    <w:pPr>
      <w:widowControl w:val="0"/>
      <w:autoSpaceDE w:val="0"/>
      <w:autoSpaceDN w:val="0"/>
      <w:spacing w:after="0" w:line="240" w:lineRule="auto"/>
      <w:jc w:val="center"/>
    </w:pPr>
    <w:rPr>
      <w:rFonts w:ascii="Times New Roman" w:hAnsi="Times New Roman"/>
      <w:lang w:val="id"/>
    </w:rPr>
  </w:style>
  <w:style w:type="character" w:styleId="UnresolvedMention">
    <w:name w:val="Unresolved Mention"/>
    <w:basedOn w:val="DefaultParagraphFont"/>
    <w:uiPriority w:val="99"/>
    <w:semiHidden/>
    <w:unhideWhenUsed/>
    <w:rsid w:val="00496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31504">
      <w:bodyDiv w:val="1"/>
      <w:marLeft w:val="0"/>
      <w:marRight w:val="0"/>
      <w:marTop w:val="0"/>
      <w:marBottom w:val="0"/>
      <w:divBdr>
        <w:top w:val="none" w:sz="0" w:space="0" w:color="auto"/>
        <w:left w:val="none" w:sz="0" w:space="0" w:color="auto"/>
        <w:bottom w:val="none" w:sz="0" w:space="0" w:color="auto"/>
        <w:right w:val="none" w:sz="0" w:space="0" w:color="auto"/>
      </w:divBdr>
    </w:div>
    <w:div w:id="221910492">
      <w:bodyDiv w:val="1"/>
      <w:marLeft w:val="0"/>
      <w:marRight w:val="0"/>
      <w:marTop w:val="0"/>
      <w:marBottom w:val="0"/>
      <w:divBdr>
        <w:top w:val="none" w:sz="0" w:space="0" w:color="auto"/>
        <w:left w:val="none" w:sz="0" w:space="0" w:color="auto"/>
        <w:bottom w:val="none" w:sz="0" w:space="0" w:color="auto"/>
        <w:right w:val="none" w:sz="0" w:space="0" w:color="auto"/>
      </w:divBdr>
    </w:div>
    <w:div w:id="286812065">
      <w:bodyDiv w:val="1"/>
      <w:marLeft w:val="0"/>
      <w:marRight w:val="0"/>
      <w:marTop w:val="0"/>
      <w:marBottom w:val="0"/>
      <w:divBdr>
        <w:top w:val="none" w:sz="0" w:space="0" w:color="auto"/>
        <w:left w:val="none" w:sz="0" w:space="0" w:color="auto"/>
        <w:bottom w:val="none" w:sz="0" w:space="0" w:color="auto"/>
        <w:right w:val="none" w:sz="0" w:space="0" w:color="auto"/>
      </w:divBdr>
    </w:div>
    <w:div w:id="307436813">
      <w:bodyDiv w:val="1"/>
      <w:marLeft w:val="0"/>
      <w:marRight w:val="0"/>
      <w:marTop w:val="0"/>
      <w:marBottom w:val="0"/>
      <w:divBdr>
        <w:top w:val="none" w:sz="0" w:space="0" w:color="auto"/>
        <w:left w:val="none" w:sz="0" w:space="0" w:color="auto"/>
        <w:bottom w:val="none" w:sz="0" w:space="0" w:color="auto"/>
        <w:right w:val="none" w:sz="0" w:space="0" w:color="auto"/>
      </w:divBdr>
    </w:div>
    <w:div w:id="322634883">
      <w:bodyDiv w:val="1"/>
      <w:marLeft w:val="0"/>
      <w:marRight w:val="0"/>
      <w:marTop w:val="0"/>
      <w:marBottom w:val="0"/>
      <w:divBdr>
        <w:top w:val="none" w:sz="0" w:space="0" w:color="auto"/>
        <w:left w:val="none" w:sz="0" w:space="0" w:color="auto"/>
        <w:bottom w:val="none" w:sz="0" w:space="0" w:color="auto"/>
        <w:right w:val="none" w:sz="0" w:space="0" w:color="auto"/>
      </w:divBdr>
    </w:div>
    <w:div w:id="1120151007">
      <w:bodyDiv w:val="1"/>
      <w:marLeft w:val="0"/>
      <w:marRight w:val="0"/>
      <w:marTop w:val="0"/>
      <w:marBottom w:val="0"/>
      <w:divBdr>
        <w:top w:val="none" w:sz="0" w:space="0" w:color="auto"/>
        <w:left w:val="none" w:sz="0" w:space="0" w:color="auto"/>
        <w:bottom w:val="none" w:sz="0" w:space="0" w:color="auto"/>
        <w:right w:val="none" w:sz="0" w:space="0" w:color="auto"/>
      </w:divBdr>
    </w:div>
    <w:div w:id="1205827668">
      <w:bodyDiv w:val="1"/>
      <w:marLeft w:val="0"/>
      <w:marRight w:val="0"/>
      <w:marTop w:val="0"/>
      <w:marBottom w:val="0"/>
      <w:divBdr>
        <w:top w:val="none" w:sz="0" w:space="0" w:color="auto"/>
        <w:left w:val="none" w:sz="0" w:space="0" w:color="auto"/>
        <w:bottom w:val="none" w:sz="0" w:space="0" w:color="auto"/>
        <w:right w:val="none" w:sz="0" w:space="0" w:color="auto"/>
      </w:divBdr>
    </w:div>
    <w:div w:id="1214732362">
      <w:bodyDiv w:val="1"/>
      <w:marLeft w:val="0"/>
      <w:marRight w:val="0"/>
      <w:marTop w:val="0"/>
      <w:marBottom w:val="0"/>
      <w:divBdr>
        <w:top w:val="none" w:sz="0" w:space="0" w:color="auto"/>
        <w:left w:val="none" w:sz="0" w:space="0" w:color="auto"/>
        <w:bottom w:val="none" w:sz="0" w:space="0" w:color="auto"/>
        <w:right w:val="none" w:sz="0" w:space="0" w:color="auto"/>
      </w:divBdr>
    </w:div>
    <w:div w:id="1372269902">
      <w:bodyDiv w:val="1"/>
      <w:marLeft w:val="0"/>
      <w:marRight w:val="0"/>
      <w:marTop w:val="0"/>
      <w:marBottom w:val="0"/>
      <w:divBdr>
        <w:top w:val="none" w:sz="0" w:space="0" w:color="auto"/>
        <w:left w:val="none" w:sz="0" w:space="0" w:color="auto"/>
        <w:bottom w:val="none" w:sz="0" w:space="0" w:color="auto"/>
        <w:right w:val="none" w:sz="0" w:space="0" w:color="auto"/>
      </w:divBdr>
    </w:div>
    <w:div w:id="1418946022">
      <w:bodyDiv w:val="1"/>
      <w:marLeft w:val="0"/>
      <w:marRight w:val="0"/>
      <w:marTop w:val="0"/>
      <w:marBottom w:val="0"/>
      <w:divBdr>
        <w:top w:val="none" w:sz="0" w:space="0" w:color="auto"/>
        <w:left w:val="none" w:sz="0" w:space="0" w:color="auto"/>
        <w:bottom w:val="none" w:sz="0" w:space="0" w:color="auto"/>
        <w:right w:val="none" w:sz="0" w:space="0" w:color="auto"/>
      </w:divBdr>
    </w:div>
    <w:div w:id="1465153596">
      <w:bodyDiv w:val="1"/>
      <w:marLeft w:val="0"/>
      <w:marRight w:val="0"/>
      <w:marTop w:val="0"/>
      <w:marBottom w:val="0"/>
      <w:divBdr>
        <w:top w:val="none" w:sz="0" w:space="0" w:color="auto"/>
        <w:left w:val="none" w:sz="0" w:space="0" w:color="auto"/>
        <w:bottom w:val="none" w:sz="0" w:space="0" w:color="auto"/>
        <w:right w:val="none" w:sz="0" w:space="0" w:color="auto"/>
      </w:divBdr>
    </w:div>
    <w:div w:id="1546872348">
      <w:bodyDiv w:val="1"/>
      <w:marLeft w:val="0"/>
      <w:marRight w:val="0"/>
      <w:marTop w:val="0"/>
      <w:marBottom w:val="0"/>
      <w:divBdr>
        <w:top w:val="none" w:sz="0" w:space="0" w:color="auto"/>
        <w:left w:val="none" w:sz="0" w:space="0" w:color="auto"/>
        <w:bottom w:val="none" w:sz="0" w:space="0" w:color="auto"/>
        <w:right w:val="none" w:sz="0" w:space="0" w:color="auto"/>
      </w:divBdr>
    </w:div>
    <w:div w:id="1627931433">
      <w:bodyDiv w:val="1"/>
      <w:marLeft w:val="0"/>
      <w:marRight w:val="0"/>
      <w:marTop w:val="0"/>
      <w:marBottom w:val="0"/>
      <w:divBdr>
        <w:top w:val="none" w:sz="0" w:space="0" w:color="auto"/>
        <w:left w:val="none" w:sz="0" w:space="0" w:color="auto"/>
        <w:bottom w:val="none" w:sz="0" w:space="0" w:color="auto"/>
        <w:right w:val="none" w:sz="0" w:space="0" w:color="auto"/>
      </w:divBdr>
    </w:div>
    <w:div w:id="177270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PUBLIKASI\2020\FORMAT%20PAPER\Template%20Media%20Statistika%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0776F72D-956A-4CBD-A69A-F0DD7C966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Media Statistika 2021</Template>
  <TotalTime>165</TotalTime>
  <Pages>5</Pages>
  <Words>1956</Words>
  <Characters>11152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13082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Evri yenni</cp:lastModifiedBy>
  <cp:revision>22</cp:revision>
  <dcterms:created xsi:type="dcterms:W3CDTF">2026-04-30T07:09:00Z</dcterms:created>
  <dcterms:modified xsi:type="dcterms:W3CDTF">2026-04-30T16:18:00Z</dcterms:modified>
</cp:coreProperties>
</file>